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L. Bramati, E. Bramati, F. Locatelli, S. Locatelli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GIOCAMICI METODO 4 CARATTERI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A. Mondadori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1a Giocamici – METODO 4 CARATTERI</w:t>
        <w:tab/>
        <w:tab/>
        <w:tab/>
        <w:tab/>
        <w:tab/>
        <w:t xml:space="preserve">      9791220400626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2a Giocamici</w:t>
        <w:tab/>
        <w:tab/>
        <w:tab/>
        <w:tab/>
        <w:tab/>
        <w:tab/>
        <w:tab/>
        <w:tab/>
        <w:t xml:space="preserve">      9791220400688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3a Giocamici</w:t>
        <w:tab/>
        <w:tab/>
        <w:tab/>
        <w:tab/>
        <w:tab/>
        <w:tab/>
        <w:tab/>
        <w:tab/>
        <w:t xml:space="preserve">      9791220400770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31f20"/>
          <w:sz w:val="28"/>
          <w:szCs w:val="28"/>
          <w:rtl w:val="0"/>
        </w:rPr>
        <w:t xml:space="preserve">GIOCAMICI - METODO 4 CARATTERI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7"/>
        </w:tabs>
        <w:spacing w:before="120" w:line="240" w:lineRule="auto"/>
        <w:ind w:left="284" w:right="716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È un progetto sviluppato interamente da insegnanti della Scuola Primaria, quindi perfettamente allineato alle reali esigenze didattiche.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697"/>
        </w:tabs>
        <w:spacing w:before="120" w:line="240" w:lineRule="auto"/>
        <w:ind w:left="284" w:right="930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Il Metodo 4 CARATTERI risponde al mio stile di insegnamento, consentendomi di gestire in parallelo lo stampato e il corsivo. Presenta sin dalle prime lettere la scrittura nelle quattro grafie ed è accompagnato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dal </w:t>
      </w:r>
      <w:r w:rsidDel="00000000" w:rsidR="00000000" w:rsidRPr="00000000">
        <w:rPr>
          <w:i w:val="1"/>
          <w:color w:val="231f20"/>
          <w:sz w:val="20"/>
          <w:szCs w:val="20"/>
          <w:rtl w:val="0"/>
        </w:rPr>
        <w:t xml:space="preserve">Quaderno dei 4 caratteri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che consente agli alunni di esercitarsi contemporaneamente nella scrittura dello stampato maiuscolo e minuscolo e del corsivo maiuscolo e minuscolo.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697"/>
        </w:tabs>
        <w:spacing w:before="120" w:line="240" w:lineRule="auto"/>
        <w:ind w:left="284" w:right="1093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La Matematica, affrontata con la didattica del gioco sviluppata dalla Professoressa Di Sieno (studiosa ed esperta di insegnamento informale), consente di avvicinare in maniera ludica gli alunni alla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697"/>
        </w:tabs>
        <w:spacing w:before="120" w:line="240" w:lineRule="auto"/>
        <w:ind w:left="284" w:right="1188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Gli Albi illustrati nelle Discipline e nelle Letture di 1</w:t>
      </w:r>
      <w:r w:rsidDel="00000000" w:rsidR="00000000" w:rsidRPr="00000000">
        <w:rPr>
          <w:color w:val="231f20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2</w:t>
      </w:r>
      <w:r w:rsidDel="00000000" w:rsidR="00000000" w:rsidRPr="00000000">
        <w:rPr>
          <w:color w:val="231f20"/>
          <w:sz w:val="20"/>
          <w:szCs w:val="20"/>
          <w:vertAlign w:val="superscript"/>
          <w:rtl w:val="0"/>
        </w:rPr>
        <w:t xml:space="preserve">a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e 3</w:t>
      </w:r>
      <w:r w:rsidDel="00000000" w:rsidR="00000000" w:rsidRPr="00000000">
        <w:rPr>
          <w:color w:val="231f20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partendo da disegni originali, coinvolgono visivamente l’alunno e stimolano curiosità e interesse.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697"/>
        </w:tabs>
        <w:spacing w:before="120" w:line="240" w:lineRule="auto"/>
        <w:ind w:left="284" w:right="552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Sul tema della Lettura come strumento di crescita del bambino, Mondadori Education sta dimostrando una grande attenzione: con Mondadori Libri ha infatti sviluppato il progetto LeggendoLeggendo che offre percorsi di  lettura personalizzati e attivati direttamente nel testo, per portare la lettura in classe e suggerire  titoli  adatti.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697"/>
        </w:tabs>
        <w:spacing w:before="120" w:line="240" w:lineRule="auto"/>
        <w:ind w:left="284" w:right="586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In tutti i volumi l’educazione alle differenze, all’affettività e alle emozioni sono affrontate come necessarie per la costruzione delle prime competenze civiche.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20" w:line="240" w:lineRule="auto"/>
        <w:ind w:left="284" w:firstLine="0"/>
        <w:rPr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 </w:t>
        <w:tab/>
        <w:t xml:space="preserve">L’inclusione non è concentrata in alcune parti dei volumi ma permea l’intera opera: attività, esercizi, verifiche e strumenti compensativi per non lasciare indietro nessuno.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97"/>
        </w:tabs>
        <w:spacing w:before="120" w:line="240" w:lineRule="auto"/>
        <w:ind w:left="284" w:right="601" w:firstLine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  <w:t xml:space="preserve">I materiali per l’insegnante (digitali e cartacei) mi forniscono un aiuto concreto; l’assistenza e l’offerta post adozione mi permettono di avere un confronto diretto con la Casa Editrice durante tutto l’anno scolastico. </w:t>
      </w:r>
    </w:p>
    <w:p w:rsidR="00000000" w:rsidDel="00000000" w:rsidP="00000000" w:rsidRDefault="00000000" w:rsidRPr="00000000" w14:paraId="0000001D">
      <w:pPr>
        <w:widowControl w:val="0"/>
        <w:tabs>
          <w:tab w:val="left" w:pos="697"/>
        </w:tabs>
        <w:spacing w:before="120" w:line="240" w:lineRule="auto"/>
        <w:ind w:left="284" w:right="601" w:firstLine="0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›</w:t>
        <w:tab/>
      </w:r>
      <w:r w:rsidDel="00000000" w:rsidR="00000000" w:rsidRPr="00000000">
        <w:rPr>
          <w:sz w:val="20"/>
          <w:szCs w:val="20"/>
          <w:rtl w:val="0"/>
        </w:rPr>
        <w:t xml:space="preserve">Il progetto propone numerosi e differenziati strumenti per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valutazione</w:t>
      </w:r>
      <w:r w:rsidDel="00000000" w:rsidR="00000000" w:rsidRPr="00000000">
        <w:rPr>
          <w:sz w:val="20"/>
          <w:szCs w:val="20"/>
          <w:rtl w:val="0"/>
        </w:rPr>
        <w:t xml:space="preserve"> realmente formativa, sia nei libri, sia nelle guide, che assistono gli insegnanti nell’applicazione delle nuove Linee guida ministeriali (OM 172/20).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81900" cy="20955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81900" cy="209550"/>
              <wp:effectExtent b="0" l="0" r="0" t="0"/>
              <wp:wrapTopAndBottom distB="0" distT="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gHsk/CJcTYtXicXMCqiZpXX7g==">AMUW2mULrsFgfyowHyWjyeVwSfjS2ZZUVESLHzRiKsanJfbzZgHipV574UC0w3f0BUyxVy/WJEkiSO2ynFf162Ov/oOb1xAwXGbyo7FF4shv2Yw+JAtT500=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