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Germana Girotti, Tiziana Canali, Donatella Merlo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PASSWORD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Minerva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4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Password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Sussidiario unico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     9788829860333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Password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Sussidiario unico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     9788829860456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4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Password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Sussidiario antropologico</w:t>
        <w:tab/>
        <w:tab/>
        <w:tab/>
        <w:tab/>
        <w:tab/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9788829860531</w:t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4442"/>
        </w:tabs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Password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Sussidiario antropologico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    </w:t>
        <w:tab/>
        <w:t xml:space="preserve">      9788829860616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4442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4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Password–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Sussidiario scientifico</w:t>
        <w:tab/>
        <w:tab/>
        <w:tab/>
        <w:tab/>
        <w:tab/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9788829860579</w:t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4442"/>
        </w:tabs>
        <w:spacing w:line="24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Classe 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Password – </w:t>
      </w:r>
      <w:r w:rsidDel="00000000" w:rsidR="00000000" w:rsidRPr="00000000">
        <w:rPr>
          <w:i w:val="1"/>
          <w:sz w:val="20"/>
          <w:szCs w:val="20"/>
          <w:rtl w:val="0"/>
        </w:rPr>
        <w:t xml:space="preserve">Sussidiario scientifico</w:t>
        <w:tab/>
        <w:tab/>
        <w:tab/>
        <w:tab/>
        <w:tab/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9788829860654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ind w:left="357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Perché propongo di adottare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PASSWORD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parole sono al centro del progetto. Lo </w:t>
      </w:r>
      <w:r w:rsidDel="00000000" w:rsidR="00000000" w:rsidRPr="00000000">
        <w:rPr>
          <w:b w:val="1"/>
          <w:sz w:val="20"/>
          <w:szCs w:val="20"/>
          <w:rtl w:val="0"/>
        </w:rPr>
        <w:t xml:space="preserve">sviluppo della competenza lessicale</w:t>
      </w:r>
      <w:r w:rsidDel="00000000" w:rsidR="00000000" w:rsidRPr="00000000">
        <w:rPr>
          <w:sz w:val="20"/>
          <w:szCs w:val="20"/>
          <w:rtl w:val="0"/>
        </w:rPr>
        <w:t xml:space="preserve"> parte dalle parole-chiave disciplinari aiutando l’alunno a costruirsi il proprio vocabolario e a fare collegamenti interdisciplinari. Inoltre, il confronto tra due parole caratterizzanti la tematica è un input per far ragionare sull’argomento.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line="240" w:lineRule="auto"/>
        <w:ind w:left="357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Ciascuna disciplina ha delle aperture dedicate al confronto (ieri/oggi, vicino/lontano, grande/piccolo, dentro/fuori) che mi permettono di attivare l’interesse degli alunni ed esplorare insieme gli argomenti che verranno presentati.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 progetto che va al di là delle nozioni disciplinari: i volumi e i quaderni dedicati insegnano agli studenti lo sviluppo di un proprio </w:t>
      </w:r>
      <w:r w:rsidDel="00000000" w:rsidR="00000000" w:rsidRPr="00000000">
        <w:rPr>
          <w:b w:val="1"/>
          <w:sz w:val="20"/>
          <w:szCs w:val="20"/>
          <w:rtl w:val="0"/>
        </w:rPr>
        <w:t xml:space="preserve">metodo di studio</w:t>
      </w:r>
      <w:r w:rsidDel="00000000" w:rsidR="00000000" w:rsidRPr="00000000">
        <w:rPr>
          <w:sz w:val="20"/>
          <w:szCs w:val="20"/>
          <w:rtl w:val="0"/>
        </w:rPr>
        <w:t xml:space="preserve">, la capacità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sintesi</w:t>
      </w:r>
      <w:r w:rsidDel="00000000" w:rsidR="00000000" w:rsidRPr="00000000">
        <w:rPr>
          <w:sz w:val="20"/>
          <w:szCs w:val="20"/>
          <w:rtl w:val="0"/>
        </w:rPr>
        <w:t xml:space="preserve"> e la gestione dell’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esposizione orale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L’Educazione Civica</w:t>
      </w:r>
      <w:r w:rsidDel="00000000" w:rsidR="00000000" w:rsidRPr="00000000">
        <w:rPr>
          <w:sz w:val="20"/>
          <w:szCs w:val="20"/>
          <w:rtl w:val="0"/>
        </w:rPr>
        <w:t xml:space="preserve"> è affrontata con approccio interdisciplinare nei volumi e nel quaderno dedicato, allineato perfettamente alle nuove Linee guida del MIUR. Nel quaderno sono presenti anche le verifiche formative e i compiti di realtà che mi aiutano per la nuova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L’offerta di materiali per l’insegnante è molto ampia e con una reale utilità pratica: le guide hanno un ricco apparato per lo sviluppo 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valutazione dell’Educazione Civica</w:t>
      </w:r>
      <w:r w:rsidDel="00000000" w:rsidR="00000000" w:rsidRPr="00000000">
        <w:rPr>
          <w:sz w:val="20"/>
          <w:szCs w:val="20"/>
          <w:rtl w:val="0"/>
        </w:rPr>
        <w:t xml:space="preserve">,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Didattica Digitale Integrata</w:t>
      </w:r>
      <w:r w:rsidDel="00000000" w:rsidR="00000000" w:rsidRPr="00000000">
        <w:rPr>
          <w:sz w:val="20"/>
          <w:szCs w:val="20"/>
          <w:rtl w:val="0"/>
        </w:rPr>
        <w:t xml:space="preserve"> 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progettazione per nuclei fondanti</w:t>
      </w:r>
      <w:r w:rsidDel="00000000" w:rsidR="00000000" w:rsidRPr="00000000">
        <w:rPr>
          <w:sz w:val="20"/>
          <w:szCs w:val="20"/>
          <w:rtl w:val="0"/>
        </w:rPr>
        <w:t xml:space="preserve">. La presenza di strumenti compensativi, testi semplificati e studio assistito e un portale disciplinare dedicato mi aiutano inoltre a sviluppare una didattica dinamica e inclusiva. La Casa Editrice mi fornisce assistenza e aggiornamento durante tutto l’anno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progetto è arricchito da un vasto </w:t>
      </w:r>
      <w:r w:rsidDel="00000000" w:rsidR="00000000" w:rsidRPr="00000000">
        <w:rPr>
          <w:b w:val="1"/>
          <w:sz w:val="20"/>
          <w:szCs w:val="20"/>
          <w:rtl w:val="0"/>
        </w:rPr>
        <w:t xml:space="preserve">apparato per la valutazione</w:t>
      </w:r>
      <w:r w:rsidDel="00000000" w:rsidR="00000000" w:rsidRPr="00000000">
        <w:rPr>
          <w:sz w:val="20"/>
          <w:szCs w:val="20"/>
          <w:rtl w:val="0"/>
        </w:rPr>
        <w:t xml:space="preserve"> con verifiche (nel Sussidiario e in Guida), materiali per l’esposizione orale, compiti di realtà con proposte anche per lo sviluppo delle competenze digitali, prove INVALSI e altro ancora. Sono numerosi e differenziati gli strumenti offerti per una valutazione realmente </w:t>
      </w:r>
      <w:r w:rsidDel="00000000" w:rsidR="00000000" w:rsidRPr="00000000">
        <w:rPr>
          <w:b w:val="1"/>
          <w:sz w:val="20"/>
          <w:szCs w:val="20"/>
          <w:rtl w:val="0"/>
        </w:rPr>
        <w:t xml:space="preserve">formativa</w:t>
      </w:r>
      <w:r w:rsidDel="00000000" w:rsidR="00000000" w:rsidRPr="00000000">
        <w:rPr>
          <w:sz w:val="20"/>
          <w:szCs w:val="20"/>
          <w:rtl w:val="0"/>
        </w:rPr>
        <w:t xml:space="preserve"> nell’applicazione delle nuove </w:t>
      </w:r>
      <w:r w:rsidDel="00000000" w:rsidR="00000000" w:rsidRPr="00000000">
        <w:rPr>
          <w:b w:val="1"/>
          <w:sz w:val="20"/>
          <w:szCs w:val="20"/>
          <w:rtl w:val="0"/>
        </w:rPr>
        <w:t xml:space="preserve">Linee guida ministeriali</w:t>
      </w:r>
      <w:r w:rsidDel="00000000" w:rsidR="00000000" w:rsidRPr="00000000">
        <w:rPr>
          <w:sz w:val="20"/>
          <w:szCs w:val="20"/>
          <w:rtl w:val="0"/>
        </w:rPr>
        <w:t xml:space="preserve"> (OM 172/20).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29525" cy="257175"/>
              <wp:effectExtent b="0" l="0" r="0" t="0"/>
              <wp:wrapTopAndBottom distB="0" distT="0"/>
              <wp:docPr id="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29525" cy="257175"/>
              <wp:effectExtent b="0" l="0" r="0" t="0"/>
              <wp:wrapTopAndBottom distB="0" distT="0"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5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kb+Xp5RNaroN+012FFtnJELOQ==">AMUW2mVdB0Gy93V1VWo91bB6wY84y51+smpaQkilzrQTqzoiQ7EvYYUPTADFnl7xvhOu+GEDZNPU30Q+Irj6lay3bK3uNwz/RS4vI96++X96k7sVdI2Rfn0=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