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P. Gallo P. Sirsi: SIAmo informatici 2° biennio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i w:val="1"/>
          <w:color w:val="e62e2d"/>
          <w:sz w:val="19"/>
          <w:szCs w:val="19"/>
        </w:rPr>
      </w:pPr>
      <w:r w:rsidDel="00000000" w:rsidR="00000000" w:rsidRPr="00000000">
        <w:rPr>
          <w:b w:val="1"/>
          <w:i w:val="1"/>
          <w:color w:val="e62e2d"/>
          <w:sz w:val="19"/>
          <w:szCs w:val="19"/>
          <w:rtl w:val="0"/>
        </w:rPr>
        <w:t xml:space="preserve">Per il 2° biennio degli Istituti tecnici settore economico, indirizzo AFM articolazione SIA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Minerva Scuola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unico, pp. 672 + Libro digitale + Contenuti Digitali Integrativi </w:t>
        <w:tab/>
        <w:tab/>
        <w:t xml:space="preserve">      9788829862955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34,80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Guida per il docente 2° biennio, pp. 288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 espone gli argomenti in modo semplice e lineare, agevolando l’apprendimento dei concetti esposti senza mai venir meno alle esigenze di completezza e rigore scientifico. Particolare attenzione è posta alle esemplificazioni pratiche, che seguono l’introduzione di ogni nuovo argomento e permettono agli studenti di verificare subito l’apprendimento di ciò che hanno studiato.</w:t>
      </w:r>
    </w:p>
    <w:p w:rsidR="00000000" w:rsidDel="00000000" w:rsidP="00000000" w:rsidRDefault="00000000" w:rsidRPr="00000000" w14:paraId="00000017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volume è diviso in 4 Sezioni, a loro volta articolate in 20 Unità. La prima Sezione è dedicata all’Informatica nel contesto aziendale, agli algoritmi e ai linguaggi di programmazione, e approfondisce in particolare il linguaggio C++. La seconda Sezione è incentrata sull’azienda nel Web, sui linguaggi HTML e CSS e sul linguaggio JavaScript, utilizzato anche come linguaggio orientato agli eventi. La terza Sezione è dedicata al sistema operativo e alla sua organizzazione. La quarta Sezione si occupa approfonditamente delle basi di dati e dello standard SQL.</w:t>
      </w:r>
    </w:p>
    <w:p w:rsidR="00000000" w:rsidDel="00000000" w:rsidP="00000000" w:rsidRDefault="00000000" w:rsidRPr="00000000" w14:paraId="00000018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Tutte le Sezioni del corso si aprono con un’immagine da esplorare collegata in digitale a testi e video di introduzione agli argomenti principali. In apertura di Sezione sono inoltre proposte attività da svolgere a casa e in classe in modalità </w:t>
      </w:r>
      <w:r w:rsidDel="00000000" w:rsidR="00000000" w:rsidRPr="00000000">
        <w:rPr>
          <w:i w:val="1"/>
          <w:sz w:val="20"/>
          <w:szCs w:val="20"/>
          <w:rtl w:val="0"/>
        </w:rPr>
        <w:t xml:space="preserve">flipped classroom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Tutti gli argomenti principali sono proposti in 3 fasi: </w:t>
      </w:r>
      <w:r w:rsidDel="00000000" w:rsidR="00000000" w:rsidRPr="00000000">
        <w:rPr>
          <w:i w:val="1"/>
          <w:sz w:val="20"/>
          <w:szCs w:val="20"/>
          <w:rtl w:val="0"/>
        </w:rPr>
        <w:t xml:space="preserve">Osserva l’esempio</w:t>
      </w:r>
      <w:r w:rsidDel="00000000" w:rsidR="00000000" w:rsidRPr="00000000">
        <w:rPr>
          <w:sz w:val="20"/>
          <w:szCs w:val="20"/>
          <w:rtl w:val="0"/>
        </w:rPr>
        <w:t xml:space="preserve"> contiene esercizi e problemi svolti e commentati, scelti in modo da abbracciare la casistica più varia; </w:t>
      </w:r>
      <w:r w:rsidDel="00000000" w:rsidR="00000000" w:rsidRPr="00000000">
        <w:rPr>
          <w:i w:val="1"/>
          <w:sz w:val="20"/>
          <w:szCs w:val="20"/>
          <w:rtl w:val="0"/>
        </w:rPr>
        <w:t xml:space="preserve">Mettiamoci alla prova</w:t>
      </w:r>
      <w:r w:rsidDel="00000000" w:rsidR="00000000" w:rsidRPr="00000000">
        <w:rPr>
          <w:sz w:val="20"/>
          <w:szCs w:val="20"/>
          <w:rtl w:val="0"/>
        </w:rPr>
        <w:t xml:space="preserve"> presenta esercitazioni da svolgere in modo guidato, </w:t>
      </w:r>
      <w:r w:rsidDel="00000000" w:rsidR="00000000" w:rsidRPr="00000000">
        <w:rPr>
          <w:i w:val="1"/>
          <w:sz w:val="20"/>
          <w:szCs w:val="20"/>
          <w:rtl w:val="0"/>
        </w:rPr>
        <w:t xml:space="preserve">Ora tocca a te!</w:t>
      </w:r>
      <w:r w:rsidDel="00000000" w:rsidR="00000000" w:rsidRPr="00000000">
        <w:rPr>
          <w:sz w:val="20"/>
          <w:szCs w:val="20"/>
          <w:rtl w:val="0"/>
        </w:rPr>
        <w:t xml:space="preserve"> esercizi da svolgere in autonomia. Molti di questi esercizi pratici, identificati dalla dicitura </w:t>
      </w:r>
      <w:r w:rsidDel="00000000" w:rsidR="00000000" w:rsidRPr="00000000">
        <w:rPr>
          <w:i w:val="1"/>
          <w:sz w:val="20"/>
          <w:szCs w:val="20"/>
          <w:rtl w:val="0"/>
        </w:rPr>
        <w:t xml:space="preserve">In azienda</w:t>
      </w:r>
      <w:r w:rsidDel="00000000" w:rsidR="00000000" w:rsidRPr="00000000">
        <w:rPr>
          <w:sz w:val="20"/>
          <w:szCs w:val="20"/>
          <w:rtl w:val="0"/>
        </w:rPr>
        <w:t xml:space="preserve">, sono calati nella realtà economico-aziendale.</w:t>
      </w:r>
    </w:p>
    <w:p w:rsidR="00000000" w:rsidDel="00000000" w:rsidP="00000000" w:rsidRDefault="00000000" w:rsidRPr="00000000" w14:paraId="0000001A">
      <w:pPr>
        <w:widowControl w:val="0"/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Ogni Unità si chiude con una mappa concettuale di sintesi, verifiche con esercizi suddivisi in tre livelli di difficoltà e una sessione di esercizi finali </w:t>
      </w:r>
      <w:r w:rsidDel="00000000" w:rsidR="00000000" w:rsidRPr="00000000">
        <w:rPr>
          <w:i w:val="1"/>
          <w:sz w:val="20"/>
          <w:szCs w:val="20"/>
          <w:rtl w:val="0"/>
        </w:rPr>
        <w:t xml:space="preserve">In azienda</w:t>
      </w:r>
      <w:r w:rsidDel="00000000" w:rsidR="00000000" w:rsidRPr="00000000">
        <w:rPr>
          <w:sz w:val="20"/>
          <w:szCs w:val="20"/>
          <w:rtl w:val="0"/>
        </w:rPr>
        <w:t xml:space="preserve">. Esercizi commentati passo dopo passo in digitale anticipano e permettono di prepararsi alle verifiche.</w:t>
      </w:r>
    </w:p>
    <w:p w:rsidR="00000000" w:rsidDel="00000000" w:rsidP="00000000" w:rsidRDefault="00000000" w:rsidRPr="00000000" w14:paraId="0000001B">
      <w:pPr>
        <w:widowControl w:val="0"/>
        <w:spacing w:after="80" w:line="240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fine Sezione, il corso presenta un compito di realtà guidato e organizzato in passaggi successivi, e un secondo compito di realtà da svolgere in autonomia. Seguono le schede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Azienda digitale sostenibile</w:t>
      </w:r>
      <w:r w:rsidDel="00000000" w:rsidR="00000000" w:rsidRPr="00000000">
        <w:rPr>
          <w:sz w:val="20"/>
          <w:szCs w:val="20"/>
          <w:rtl w:val="0"/>
        </w:rPr>
        <w:t xml:space="preserve">, per sviluppare competenze di Educazione civica in contesti legati all’Informatica e all’Economia. </w:t>
      </w:r>
      <w:r w:rsidDel="00000000" w:rsidR="00000000" w:rsidRPr="00000000">
        <w:rPr>
          <w:i w:val="1"/>
          <w:sz w:val="20"/>
          <w:szCs w:val="20"/>
          <w:rtl w:val="0"/>
        </w:rPr>
        <w:t xml:space="preserve">Rifletto sul mio apprendimento</w:t>
      </w:r>
      <w:r w:rsidDel="00000000" w:rsidR="00000000" w:rsidRPr="00000000">
        <w:rPr>
          <w:sz w:val="20"/>
          <w:szCs w:val="20"/>
          <w:rtl w:val="0"/>
        </w:rPr>
        <w:t xml:space="preserve"> permette allo studente di valutare il proprio metodo di studio e di mettersi alla prova nella costruzione di mappe interdisciplinari.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parte finale del volume è dedicata ai </w:t>
      </w:r>
      <w:r w:rsidDel="00000000" w:rsidR="00000000" w:rsidRPr="00000000">
        <w:rPr>
          <w:i w:val="1"/>
          <w:sz w:val="20"/>
          <w:szCs w:val="20"/>
          <w:rtl w:val="0"/>
        </w:rPr>
        <w:t xml:space="preserve">Project work</w:t>
      </w:r>
      <w:r w:rsidDel="00000000" w:rsidR="00000000" w:rsidRPr="00000000">
        <w:rPr>
          <w:sz w:val="20"/>
          <w:szCs w:val="20"/>
          <w:rtl w:val="0"/>
        </w:rPr>
        <w:t xml:space="preserve">, progetti interdisciplinari guidati, da realizzare in gruppo.</w:t>
      </w:r>
    </w:p>
    <w:p w:rsidR="00000000" w:rsidDel="00000000" w:rsidP="00000000" w:rsidRDefault="00000000" w:rsidRPr="00000000" w14:paraId="0000001D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corso mette a disposizione numerosi contenuti digitali: file con i codici sorgenti dei programmi realizzati, laboratori con casi di studio aziendali per mettere in gioco le competenze acquisite (Case studies), Esercizi commentati, test di esecuzione del codice per osservare tutti i programmi principali direttamente nell’ambiente di programmazione, test autocorrettivi per la verifica delle conoscenze e mappe concettuali modificabili.</w:t>
      </w:r>
    </w:p>
    <w:p w:rsidR="00000000" w:rsidDel="00000000" w:rsidP="00000000" w:rsidRDefault="00000000" w:rsidRPr="00000000" w14:paraId="0000001E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 è un “libro misto”, costituito da un testo in versione cartacea accompagnato da Contenuti Digitali Integrativi (DM 781/2013; convertito in legge con DL 104/2013), ed è in linea con quanto previsto dalla normativa ministeriale.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72375" cy="200025"/>
              <wp:effectExtent b="0" l="0" r="0" t="0"/>
              <wp:wrapTopAndBottom distB="0" distT="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72375" cy="200025"/>
              <wp:effectExtent b="0" l="0" r="0" t="0"/>
              <wp:wrapTopAndBottom distB="0" distT="0"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2375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+7YeStWlYEx3jcIaknsK78Uog==">AMUW2mW8Od3cWsI1hBp2VcmRS58vQvX1LSQy7zpL4WDjQKSM8c8gEXdYges0KPaaFxhRT53HU2y/eKDtW5Z0wpshpIchaB4nTpvRB78M81RuUiRGhDWGU64=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