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6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</wp:posOffset>
            </wp:positionH>
            <wp:positionV relativeFrom="paragraph">
              <wp:posOffset>187337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6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G. Zagrebelsky G. Oberto G. Stalla C. Trucco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Diritto – Cittadini del mondo 2° biennio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rPr>
          <w:b w:val="1"/>
          <w:i w:val="1"/>
          <w:color w:val="e62e2d"/>
          <w:sz w:val="19"/>
          <w:szCs w:val="19"/>
        </w:rPr>
      </w:pPr>
      <w:r w:rsidDel="00000000" w:rsidR="00000000" w:rsidRPr="00000000">
        <w:rPr>
          <w:b w:val="1"/>
          <w:i w:val="1"/>
          <w:color w:val="e62e2d"/>
          <w:sz w:val="19"/>
          <w:szCs w:val="19"/>
          <w:rtl w:val="0"/>
        </w:rPr>
        <w:t xml:space="preserve">Per il 2° biennio degli Istituti tecnici settore economico, indirizzo AFM, articolazione RIM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720" w:firstLine="0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Le Monnier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Volume 2° biennio, pp. 576 + Libro digitale + Contenuti Digitali Integrativi </w:t>
        <w:tab/>
        <w:tab/>
        <w:t xml:space="preserve">      9788800362696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8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Guida docente 2° biennio, pp. 288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40" w:lineRule="auto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MOTIVAZIONE DELLA NUOVA ADOZIONE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80"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corso coniuga una trattazione rigorosa con un linguaggio chiaro e alla portata dello studente; è arricchito da schemi, esempi e titoletti laterali che facilitano la comprensione. Il volume risponde alle specifiche esigenze dell’articolazione Relazioni internazionali per il marketing ed è adeguato al percorso di studi sia in termini di monte ore a disposizione sia in relazione ai temi affrontati.</w:t>
      </w:r>
    </w:p>
    <w:p w:rsidR="00000000" w:rsidDel="00000000" w:rsidP="00000000" w:rsidRDefault="00000000" w:rsidRPr="00000000" w14:paraId="00000016">
      <w:pPr>
        <w:widowControl w:val="0"/>
        <w:spacing w:after="80"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 </w:t>
      </w:r>
      <w:r w:rsidDel="00000000" w:rsidR="00000000" w:rsidRPr="00000000">
        <w:rPr>
          <w:i w:val="1"/>
          <w:sz w:val="20"/>
          <w:szCs w:val="20"/>
          <w:rtl w:val="0"/>
        </w:rPr>
        <w:t xml:space="preserve">Pillole di diritto comparato</w:t>
      </w:r>
      <w:r w:rsidDel="00000000" w:rsidR="00000000" w:rsidRPr="00000000">
        <w:rPr>
          <w:sz w:val="20"/>
          <w:szCs w:val="20"/>
          <w:rtl w:val="0"/>
        </w:rPr>
        <w:t xml:space="preserve"> introducono in ogni Capitolo interessanti elementi di comparazione con il Diritto di altri Paesi e il Diritto internazionale, in particolare quello dell’Unione europea. All’interno dei Capitoli, inoltre, le </w:t>
      </w:r>
      <w:r w:rsidDel="00000000" w:rsidR="00000000" w:rsidRPr="00000000">
        <w:rPr>
          <w:i w:val="1"/>
          <w:sz w:val="20"/>
          <w:szCs w:val="20"/>
          <w:rtl w:val="0"/>
        </w:rPr>
        <w:t xml:space="preserve">Verifiche immediate</w:t>
      </w:r>
      <w:r w:rsidDel="00000000" w:rsidR="00000000" w:rsidRPr="00000000">
        <w:rPr>
          <w:sz w:val="20"/>
          <w:szCs w:val="20"/>
          <w:rtl w:val="0"/>
        </w:rPr>
        <w:t xml:space="preserve"> consentono un rapido check delle conoscenze e la rubrica </w:t>
      </w:r>
      <w:r w:rsidDel="00000000" w:rsidR="00000000" w:rsidRPr="00000000">
        <w:rPr>
          <w:i w:val="1"/>
          <w:sz w:val="20"/>
          <w:szCs w:val="20"/>
          <w:rtl w:val="0"/>
        </w:rPr>
        <w:t xml:space="preserve">Mettiamo in pratica</w:t>
      </w:r>
      <w:r w:rsidDel="00000000" w:rsidR="00000000" w:rsidRPr="00000000">
        <w:rPr>
          <w:sz w:val="20"/>
          <w:szCs w:val="20"/>
          <w:rtl w:val="0"/>
        </w:rPr>
        <w:t xml:space="preserve"> presenta un semplice caso con soluzione che avvicina la teoria alla realtà.</w:t>
      </w:r>
    </w:p>
    <w:p w:rsidR="00000000" w:rsidDel="00000000" w:rsidP="00000000" w:rsidRDefault="00000000" w:rsidRPr="00000000" w14:paraId="00000017">
      <w:pPr>
        <w:widowControl w:val="0"/>
        <w:spacing w:after="80"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didattica dei casi è ripresa nelle verifiche di fine Capitolo e fine Unità e dalle schede </w:t>
      </w:r>
      <w:r w:rsidDel="00000000" w:rsidR="00000000" w:rsidRPr="00000000">
        <w:rPr>
          <w:i w:val="1"/>
          <w:sz w:val="20"/>
          <w:szCs w:val="20"/>
          <w:rtl w:val="0"/>
        </w:rPr>
        <w:t xml:space="preserve">Discussione di un caso pratico</w:t>
      </w:r>
      <w:r w:rsidDel="00000000" w:rsidR="00000000" w:rsidRPr="00000000">
        <w:rPr>
          <w:sz w:val="20"/>
          <w:szCs w:val="20"/>
          <w:rtl w:val="0"/>
        </w:rPr>
        <w:t xml:space="preserve">, che propongono l’analisi di un caso relativo al Diritto di altri Paesi, con guida all’identificazione delle caratteristiche dell’ordinamento straniero, lettura delle argomentazioni delle parti, indicazioni sulla giurisprudenza e una serie di attività per la riflessione critica e il dibattito.</w:t>
      </w:r>
    </w:p>
    <w:p w:rsidR="00000000" w:rsidDel="00000000" w:rsidP="00000000" w:rsidRDefault="00000000" w:rsidRPr="00000000" w14:paraId="00000018">
      <w:pPr>
        <w:spacing w:after="8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apertura di Unità un video funge da “gancio alla realtà” ed è collegato a proposte di attività che possono essere svolte in modalità Flipped Classroom. Tutti i temi principali dei Capitoli sono collegati a videolezioni che possono essere utilizzate per impostare la lezione o per il ripasso e il recupero dello studente.</w:t>
      </w:r>
    </w:p>
    <w:p w:rsidR="00000000" w:rsidDel="00000000" w:rsidP="00000000" w:rsidRDefault="00000000" w:rsidRPr="00000000" w14:paraId="00000019">
      <w:pPr>
        <w:widowControl w:val="0"/>
        <w:spacing w:after="80"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chiusura di Capitolo sono presenti una sintesi testuale e una mappa riassuntiva, seguite da verifiche impostate con difficoltà graduale, con esercizi sul lessico e sui casi giuridici e una sezione dedicata specificamente alla preparazione del colloquio orale. Alla fine delle Unità sono presenti Verifiche per il compito in classe.</w:t>
      </w:r>
    </w:p>
    <w:p w:rsidR="00000000" w:rsidDel="00000000" w:rsidP="00000000" w:rsidRDefault="00000000" w:rsidRPr="00000000" w14:paraId="0000001A">
      <w:pPr>
        <w:widowControl w:val="0"/>
        <w:spacing w:after="80"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</w:t>
      </w:r>
      <w:r w:rsidDel="00000000" w:rsidR="00000000" w:rsidRPr="00000000">
        <w:rPr>
          <w:i w:val="1"/>
          <w:sz w:val="20"/>
          <w:szCs w:val="20"/>
          <w:rtl w:val="0"/>
        </w:rPr>
        <w:t xml:space="preserve">Percorsi di Educazione civica</w:t>
      </w:r>
      <w:r w:rsidDel="00000000" w:rsidR="00000000" w:rsidRPr="00000000">
        <w:rPr>
          <w:sz w:val="20"/>
          <w:szCs w:val="20"/>
          <w:rtl w:val="0"/>
        </w:rPr>
        <w:t xml:space="preserve"> alla fine di ogni Unità offrono schede con attività guidate su un argomento disciplinare. In vista della preparazione del colloquio orale dell’Esame di Stato, la rubrica </w:t>
      </w:r>
      <w:r w:rsidDel="00000000" w:rsidR="00000000" w:rsidRPr="00000000">
        <w:rPr>
          <w:i w:val="1"/>
          <w:sz w:val="20"/>
          <w:szCs w:val="20"/>
          <w:rtl w:val="0"/>
        </w:rPr>
        <w:t xml:space="preserve">Percorsi pluridisciplinari</w:t>
      </w:r>
      <w:r w:rsidDel="00000000" w:rsidR="00000000" w:rsidRPr="00000000">
        <w:rPr>
          <w:sz w:val="20"/>
          <w:szCs w:val="20"/>
          <w:rtl w:val="0"/>
        </w:rPr>
        <w:t xml:space="preserve"> invita a sviluppare un argomento dell’Unità di riferimento dal punto di vista di diverse discipline. Le competenze disciplinari e trasversali, infine, sono messe in gioco anche nelle schede </w:t>
      </w:r>
      <w:r w:rsidDel="00000000" w:rsidR="00000000" w:rsidRPr="00000000">
        <w:rPr>
          <w:i w:val="1"/>
          <w:sz w:val="20"/>
          <w:szCs w:val="20"/>
          <w:rtl w:val="0"/>
        </w:rPr>
        <w:t xml:space="preserve">Competenze alla prova </w:t>
      </w:r>
      <w:r w:rsidDel="00000000" w:rsidR="00000000" w:rsidRPr="00000000">
        <w:rPr>
          <w:sz w:val="20"/>
          <w:szCs w:val="20"/>
          <w:rtl w:val="0"/>
        </w:rPr>
        <w:t xml:space="preserve">inserite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per blocchi di argomenti.</w:t>
      </w:r>
    </w:p>
    <w:p w:rsidR="00000000" w:rsidDel="00000000" w:rsidP="00000000" w:rsidRDefault="00000000" w:rsidRPr="00000000" w14:paraId="0000001B">
      <w:pPr>
        <w:widowControl w:val="0"/>
        <w:spacing w:after="80"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Molto ampia è la dotazione digitale del volume: oltre ai video di apertura di Unità e alle videolezioni, tutti gli argomenti principali sono collegati a lezioni digitali per la didattica digitale integrata. Ogni lezione digitale propone percorsi personalizzabili che utilizzano sia i materiali forniti nel volume cartaceo sia tutte le risorse disponibili nel libro digitale e online.</w:t>
      </w:r>
    </w:p>
    <w:p w:rsidR="00000000" w:rsidDel="00000000" w:rsidP="00000000" w:rsidRDefault="00000000" w:rsidRPr="00000000" w14:paraId="0000001C">
      <w:pPr>
        <w:widowControl w:val="0"/>
        <w:spacing w:after="80" w:line="24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Completano l’offerta digitale i test autocorrettivi di fine Capitolo, le mappe riassuntive in formato modificabile, gli audio e i pdf in carattere ad alta leggibilità delle sintesi, gli audio delle letture CLIL in lingua inglese, i laboratori CLIL completi di ricerche guidate da affrontare online e gli schemi guidati per la risoluzione dei casi pratici proposti nel volume.</w:t>
      </w:r>
    </w:p>
    <w:p w:rsidR="00000000" w:rsidDel="00000000" w:rsidP="00000000" w:rsidRDefault="00000000" w:rsidRPr="00000000" w14:paraId="0000001D">
      <w:pPr>
        <w:spacing w:after="80" w:line="240" w:lineRule="auto"/>
        <w:ind w:hanging="0.999999999999943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testo è un “libro misto”, costituito da un testo in versione cartacea accompagnato da Contenuti Digitali Integrativi (DM 781/2013; convertito in legge con DL 104/2013), ed è in linea con quanto previsto dalla normativa ministeriale.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43825" cy="371475"/>
              <wp:effectExtent b="0" l="0" r="0" t="0"/>
              <wp:wrapTopAndBottom distB="0" distT="0"/>
              <wp:docPr id="6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" y="2897700"/>
                        <a:ext cx="10691999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43825" cy="371475"/>
              <wp:effectExtent b="0" l="0" r="0" t="0"/>
              <wp:wrapTopAndBottom distB="0" distT="0"/>
              <wp:docPr id="6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3825" cy="371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K4u6p+ZOWn0muFcHzg3ps/5u9A==">AMUW2mV5W4CSAAaL2YB6c7nUHR6XlwaDy+R9Urm5pEu5Ar1NDwLypfxw5YonrYYtdcEuBKdFB8dl222fPlKFO/C6+fhsHkg38Qpp1RGFWs1x1iOj+YZcalE=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