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184138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Vittoria Calvani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La Storia intorno a noi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Il Medioevo e l’Età moderna + Educazione civica. Temi e progetti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pp. 312 + 216 </w:t>
        <w:tab/>
        <w:tab/>
        <w:tab/>
        <w:tab/>
        <w:tab/>
        <w:tab/>
        <w:tab/>
        <w:tab/>
        <w:tab/>
        <w:t xml:space="preserve">      9788824790987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€ 24,00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Il Medioevo e l’Età moderna + Educazione civica. Temi e progetti + Percorsi di storia dell’alimentazione e ospitalità</w:t>
      </w:r>
      <w:r w:rsidDel="00000000" w:rsidR="00000000" w:rsidRPr="00000000">
        <w:rPr>
          <w:sz w:val="20"/>
          <w:szCs w:val="20"/>
          <w:rtl w:val="0"/>
        </w:rPr>
        <w:t xml:space="preserve">, pp. 312 + 216 + 168 </w:t>
        <w:tab/>
        <w:tab/>
        <w:tab/>
        <w:tab/>
        <w:t xml:space="preserve">      9788824790918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€ 26,00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Il Settecento e l’Ottocento, </w:t>
      </w:r>
      <w:r w:rsidDel="00000000" w:rsidR="00000000" w:rsidRPr="00000000">
        <w:rPr>
          <w:sz w:val="20"/>
          <w:szCs w:val="20"/>
          <w:rtl w:val="0"/>
        </w:rPr>
        <w:t xml:space="preserve">pp. 312 </w:t>
        <w:tab/>
        <w:tab/>
        <w:tab/>
        <w:tab/>
        <w:tab/>
        <w:tab/>
        <w:t xml:space="preserve">      9788824791021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€ 21,80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Il Novecento e oggi</w:t>
      </w:r>
      <w:r w:rsidDel="00000000" w:rsidR="00000000" w:rsidRPr="00000000">
        <w:rPr>
          <w:sz w:val="20"/>
          <w:szCs w:val="20"/>
          <w:rtl w:val="0"/>
        </w:rPr>
        <w:t xml:space="preserve">, pp. 360 </w:t>
        <w:tab/>
        <w:tab/>
        <w:tab/>
        <w:tab/>
        <w:tab/>
        <w:tab/>
        <w:t xml:space="preserve">      9788824791069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€ 23,80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Percorsi facilitati di storia</w:t>
      </w:r>
      <w:r w:rsidDel="00000000" w:rsidR="00000000" w:rsidRPr="00000000">
        <w:rPr>
          <w:sz w:val="20"/>
          <w:szCs w:val="20"/>
          <w:rtl w:val="0"/>
        </w:rPr>
        <w:t xml:space="preserve">, pp. 168 </w:t>
        <w:tab/>
        <w:tab/>
        <w:tab/>
        <w:tab/>
        <w:tab/>
        <w:tab/>
        <w:t xml:space="preserve">   978882479091106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History in CLIL Modules. From Magna Carta to 21st Century</w:t>
      </w:r>
      <w:r w:rsidDel="00000000" w:rsidR="00000000" w:rsidRPr="00000000">
        <w:rPr>
          <w:sz w:val="20"/>
          <w:szCs w:val="20"/>
          <w:rtl w:val="0"/>
        </w:rPr>
        <w:t xml:space="preserve">, pp. 168 </w:t>
        <w:tab/>
        <w:t xml:space="preserve">       9788824791144 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€7,80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Il libro della valutazione</w:t>
      </w:r>
      <w:r w:rsidDel="00000000" w:rsidR="00000000" w:rsidRPr="00000000">
        <w:rPr>
          <w:sz w:val="20"/>
          <w:szCs w:val="20"/>
          <w:rtl w:val="0"/>
        </w:rPr>
        <w:t xml:space="preserve">, pp. 608 </w:t>
        <w:tab/>
        <w:tab/>
        <w:tab/>
        <w:tab/>
        <w:tab/>
        <w:tab/>
        <w:t xml:space="preserve">      9788824799652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Mondadori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corso è in linea con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riforma dell’istruzione professionale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la materia è organizzata per </w:t>
      </w:r>
      <w:r w:rsidDel="00000000" w:rsidR="00000000" w:rsidRPr="00000000">
        <w:rPr>
          <w:b w:val="1"/>
          <w:sz w:val="20"/>
          <w:szCs w:val="20"/>
          <w:rtl w:val="0"/>
        </w:rPr>
        <w:t xml:space="preserve">UDA</w:t>
      </w:r>
      <w:r w:rsidDel="00000000" w:rsidR="00000000" w:rsidRPr="00000000">
        <w:rPr>
          <w:sz w:val="20"/>
          <w:szCs w:val="20"/>
          <w:rtl w:val="0"/>
        </w:rPr>
        <w:t xml:space="preserve">, con suggerimenti per </w:t>
      </w:r>
      <w:r w:rsidDel="00000000" w:rsidR="00000000" w:rsidRPr="00000000">
        <w:rPr>
          <w:b w:val="1"/>
          <w:sz w:val="20"/>
          <w:szCs w:val="20"/>
          <w:rtl w:val="0"/>
        </w:rPr>
        <w:t xml:space="preserve">lezioni interdisciplinari</w:t>
      </w:r>
      <w:r w:rsidDel="00000000" w:rsidR="00000000" w:rsidRPr="00000000">
        <w:rPr>
          <w:sz w:val="20"/>
          <w:szCs w:val="20"/>
          <w:rtl w:val="0"/>
        </w:rPr>
        <w:t xml:space="preserve"> e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Diario di bordo</w:t>
      </w:r>
      <w:r w:rsidDel="00000000" w:rsidR="00000000" w:rsidRPr="00000000">
        <w:rPr>
          <w:sz w:val="20"/>
          <w:szCs w:val="20"/>
          <w:rtl w:val="0"/>
        </w:rPr>
        <w:t xml:space="preserve"> finale per monitorare l’apprendimento; 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metodologia didattica </w:t>
      </w:r>
      <w:r w:rsidDel="00000000" w:rsidR="00000000" w:rsidRPr="00000000">
        <w:rPr>
          <w:sz w:val="20"/>
          <w:szCs w:val="20"/>
          <w:rtl w:val="0"/>
        </w:rPr>
        <w:t xml:space="preserve">è </w:t>
      </w:r>
      <w:r w:rsidDel="00000000" w:rsidR="00000000" w:rsidRPr="00000000">
        <w:rPr>
          <w:b w:val="1"/>
          <w:sz w:val="20"/>
          <w:szCs w:val="20"/>
          <w:rtl w:val="0"/>
        </w:rPr>
        <w:t xml:space="preserve">induttiva e laboratoriale</w:t>
      </w:r>
      <w:r w:rsidDel="00000000" w:rsidR="00000000" w:rsidRPr="00000000">
        <w:rPr>
          <w:sz w:val="20"/>
          <w:szCs w:val="20"/>
          <w:rtl w:val="0"/>
        </w:rPr>
        <w:t xml:space="preserve">, con laboratori di fine UDA incentrati sia sulle competenze disciplinari (</w:t>
      </w:r>
      <w:r w:rsidDel="00000000" w:rsidR="00000000" w:rsidRPr="00000000">
        <w:rPr>
          <w:i w:val="1"/>
          <w:sz w:val="20"/>
          <w:szCs w:val="20"/>
          <w:rtl w:val="0"/>
        </w:rPr>
        <w:t xml:space="preserve">Laboratorio dello storico</w:t>
      </w:r>
      <w:r w:rsidDel="00000000" w:rsidR="00000000" w:rsidRPr="00000000">
        <w:rPr>
          <w:sz w:val="20"/>
          <w:szCs w:val="20"/>
          <w:rtl w:val="0"/>
        </w:rPr>
        <w:t xml:space="preserve">) sia sulle competenze trasversali, con compiti di realtà che simulano situazioni professionali (</w:t>
      </w:r>
      <w:r w:rsidDel="00000000" w:rsidR="00000000" w:rsidRPr="00000000">
        <w:rPr>
          <w:i w:val="1"/>
          <w:sz w:val="20"/>
          <w:szCs w:val="20"/>
          <w:rtl w:val="0"/>
        </w:rPr>
        <w:t xml:space="preserve">Laboratorio delle professioni</w:t>
      </w:r>
      <w:r w:rsidDel="00000000" w:rsidR="00000000" w:rsidRPr="00000000">
        <w:rPr>
          <w:sz w:val="20"/>
          <w:szCs w:val="20"/>
          <w:rtl w:val="0"/>
        </w:rPr>
        <w:t xml:space="preserve">);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il mondo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lavoro</w:t>
      </w:r>
      <w:r w:rsidDel="00000000" w:rsidR="00000000" w:rsidRPr="00000000">
        <w:rPr>
          <w:sz w:val="20"/>
          <w:szCs w:val="20"/>
          <w:rtl w:val="0"/>
        </w:rPr>
        <w:t xml:space="preserve"> è trattato con un approccio operativo non solo nei laboratori ma anche nelle schede di storia settoriale, con spunti per attività di approfondimento;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territorio</w:t>
      </w:r>
      <w:r w:rsidDel="00000000" w:rsidR="00000000" w:rsidRPr="00000000">
        <w:rPr>
          <w:sz w:val="20"/>
          <w:szCs w:val="20"/>
          <w:rtl w:val="0"/>
        </w:rPr>
        <w:t xml:space="preserve">, così centrale nella riforma, è analizzato alla fine di ciascun volume nell’atlante di storia locale, che tocca tutte le Regioni italiane e propone per ogni località un colpo d’occhio sulle eccellenze produttive della zona, pensando agli sbocchi professionali degli studenti nell’ottica di quel </w:t>
      </w:r>
      <w:r w:rsidDel="00000000" w:rsidR="00000000" w:rsidRPr="00000000">
        <w:rPr>
          <w:i w:val="1"/>
          <w:sz w:val="20"/>
          <w:szCs w:val="20"/>
          <w:rtl w:val="0"/>
        </w:rPr>
        <w:t xml:space="preserve">made in Italy </w:t>
      </w:r>
      <w:r w:rsidDel="00000000" w:rsidR="00000000" w:rsidRPr="00000000">
        <w:rPr>
          <w:sz w:val="20"/>
          <w:szCs w:val="20"/>
          <w:rtl w:val="0"/>
        </w:rPr>
        <w:t xml:space="preserve">così distintivo della riforma.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eccellenze italiane</w:t>
      </w:r>
      <w:r w:rsidDel="00000000" w:rsidR="00000000" w:rsidRPr="00000000">
        <w:rPr>
          <w:sz w:val="20"/>
          <w:szCs w:val="20"/>
          <w:rtl w:val="0"/>
        </w:rPr>
        <w:t xml:space="preserve">, infatti, riguardano i prodotti del territorio, le tradizioni enogastronomiche, le lavorazioni artigiane e industriali, il turismo e l’ospitalità, offrendo spunti per tutti gli indirizzi di studio;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assistenza allo studio</w:t>
      </w:r>
      <w:r w:rsidDel="00000000" w:rsidR="00000000" w:rsidRPr="00000000">
        <w:rPr>
          <w:sz w:val="20"/>
          <w:szCs w:val="20"/>
          <w:rtl w:val="0"/>
        </w:rPr>
        <w:t xml:space="preserve"> è garantita da sintesi per ogni paragrafo, schemi, mappe, date da ricordare e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glossario multilingue</w:t>
      </w:r>
      <w:r w:rsidDel="00000000" w:rsidR="00000000" w:rsidRPr="00000000">
        <w:rPr>
          <w:sz w:val="20"/>
          <w:szCs w:val="20"/>
          <w:rtl w:val="0"/>
        </w:rPr>
        <w:t xml:space="preserve"> per sostenere gli studenti stranieri.</w:t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corso è in linea anche con 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Esame di Stato</w:t>
      </w:r>
      <w:r w:rsidDel="00000000" w:rsidR="00000000" w:rsidRPr="00000000">
        <w:rPr>
          <w:sz w:val="20"/>
          <w:szCs w:val="20"/>
          <w:rtl w:val="0"/>
        </w:rPr>
        <w:t xml:space="preserve">, dal momento che alla fine delle UDA propone inserti con tracce per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prima prova</w:t>
      </w:r>
      <w:r w:rsidDel="00000000" w:rsidR="00000000" w:rsidRPr="00000000">
        <w:rPr>
          <w:sz w:val="20"/>
          <w:szCs w:val="20"/>
          <w:rtl w:val="0"/>
        </w:rPr>
        <w:t xml:space="preserve"> scritta (tipologia B e C a rotazione) e spunti per l’avvio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colloquio orale</w:t>
      </w:r>
      <w:r w:rsidDel="00000000" w:rsidR="00000000" w:rsidRPr="00000000">
        <w:rPr>
          <w:sz w:val="20"/>
          <w:szCs w:val="20"/>
          <w:rtl w:val="0"/>
        </w:rPr>
        <w:t xml:space="preserve"> con suggerimenti pratici e collegamenti interdisciplinari. Il volume 1 è abbinato al fascicolo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Educazione civica. Temi e progetti</w:t>
      </w:r>
      <w:r w:rsidDel="00000000" w:rsidR="00000000" w:rsidRPr="00000000">
        <w:rPr>
          <w:sz w:val="20"/>
          <w:szCs w:val="20"/>
          <w:rtl w:val="0"/>
        </w:rPr>
        <w:t xml:space="preserve">, che affronta l’educazione ambientale, i diritti, la storia della Costituzione, la cittadinanza digitale, le conseguenze del Covid-19 sulla nostra vita e un dossier speciale sulla Shoah.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fascicolo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Percorsi facilitati di storia</w:t>
      </w:r>
      <w:r w:rsidDel="00000000" w:rsidR="00000000" w:rsidRPr="00000000">
        <w:rPr>
          <w:sz w:val="20"/>
          <w:szCs w:val="20"/>
          <w:rtl w:val="0"/>
        </w:rPr>
        <w:t xml:space="preserve"> contiene le sintesi semplificate di tutti i capitoli (corredate dall’audio con la lettura espressiva) ed esercizi facilitati per il ripasso guidato.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fascicolo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Percorsi di storia dell’alimentazione e ospitalità</w:t>
      </w:r>
      <w:r w:rsidDel="00000000" w:rsidR="00000000" w:rsidRPr="00000000">
        <w:rPr>
          <w:sz w:val="20"/>
          <w:szCs w:val="20"/>
          <w:rtl w:val="0"/>
        </w:rPr>
        <w:t xml:space="preserve"> supporta gli studenti dell’indirizzo di “Enogastronomia e ospitalità alberghiera”, con informazioni storiche e compiti di realtà che simulano situazioni professionalizzanti.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Per il docente, il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Libro della valutazione</w:t>
      </w:r>
      <w:r w:rsidDel="00000000" w:rsidR="00000000" w:rsidRPr="00000000">
        <w:rPr>
          <w:sz w:val="20"/>
          <w:szCs w:val="20"/>
          <w:rtl w:val="0"/>
        </w:rPr>
        <w:t xml:space="preserve"> contiene tutti gli stumenti per affrontare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riforma dell’istruzione professionale</w:t>
      </w:r>
      <w:r w:rsidDel="00000000" w:rsidR="00000000" w:rsidRPr="00000000">
        <w:rPr>
          <w:sz w:val="20"/>
          <w:szCs w:val="20"/>
          <w:rtl w:val="0"/>
        </w:rPr>
        <w:t xml:space="preserve"> (programmazione per UDA e per assi, progetti per UDA interdisciplinari, prove per la certificazione oltre alle verifiche formative e sommative, anche in versione facilitata)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riforma dell’Esame di Stato</w:t>
      </w:r>
      <w:r w:rsidDel="00000000" w:rsidR="00000000" w:rsidRPr="00000000">
        <w:rPr>
          <w:sz w:val="20"/>
          <w:szCs w:val="20"/>
          <w:rtl w:val="0"/>
        </w:rPr>
        <w:t xml:space="preserve"> (tracce per la prima prova e spunti per il colloquio orale, programmazione integrata di storia ed Educazione civica) e,  naturalmente, per lavorare con la Didattica Digitale Integrata.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Tra i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contenuti digitali</w:t>
      </w:r>
      <w:r w:rsidDel="00000000" w:rsidR="00000000" w:rsidRPr="00000000">
        <w:rPr>
          <w:sz w:val="20"/>
          <w:szCs w:val="20"/>
          <w:rtl w:val="0"/>
        </w:rPr>
        <w:t xml:space="preserve">, particolarmente efficaci sono i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 </w:t>
      </w:r>
      <w:r w:rsidDel="00000000" w:rsidR="00000000" w:rsidRPr="00000000">
        <w:rPr>
          <w:sz w:val="20"/>
          <w:szCs w:val="20"/>
          <w:rtl w:val="0"/>
        </w:rPr>
        <w:t xml:space="preserve">di contesto storico, i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</w:t>
      </w:r>
      <w:r w:rsidDel="00000000" w:rsidR="00000000" w:rsidRPr="00000000">
        <w:rPr>
          <w:sz w:val="20"/>
          <w:szCs w:val="20"/>
          <w:rtl w:val="0"/>
        </w:rPr>
        <w:t xml:space="preserve"> su temi di Cittadinanza,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videobiografie </w:t>
      </w:r>
      <w:r w:rsidDel="00000000" w:rsidR="00000000" w:rsidRPr="00000000">
        <w:rPr>
          <w:sz w:val="20"/>
          <w:szCs w:val="20"/>
          <w:rtl w:val="0"/>
        </w:rPr>
        <w:t xml:space="preserve">sui personaggi storici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i </w:t>
      </w:r>
      <w:r w:rsidDel="00000000" w:rsidR="00000000" w:rsidRPr="00000000">
        <w:rPr>
          <w:b w:val="1"/>
          <w:sz w:val="20"/>
          <w:szCs w:val="20"/>
          <w:rtl w:val="0"/>
        </w:rPr>
        <w:t xml:space="preserve">filmati d’epoca</w:t>
      </w:r>
      <w:r w:rsidDel="00000000" w:rsidR="00000000" w:rsidRPr="00000000">
        <w:rPr>
          <w:sz w:val="20"/>
          <w:szCs w:val="20"/>
          <w:rtl w:val="0"/>
        </w:rPr>
        <w:t xml:space="preserve"> sulla storia del Novecento.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