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5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</wp:posOffset>
            </wp:positionH>
            <wp:positionV relativeFrom="paragraph">
              <wp:posOffset>187337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5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L. Gagliardini G. Palmerio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Relazioni internazionali 2° biennio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Per il 2° biennio degli Istituti tecnici settore economico, indirizzo RIM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Le Monnier Scuola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2° biennio, pp. 592 + Libro digitale </w:t>
        <w:tab/>
        <w:tab/>
        <w:tab/>
        <w:tab/>
        <w:tab/>
        <w:t xml:space="preserve">      9788800360807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 Contenuti Digitali Integrativi </w:t>
        <w:tab/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Guida docente triennio</w:t>
      </w:r>
      <w:r w:rsidDel="00000000" w:rsidR="00000000" w:rsidRPr="00000000">
        <w:rPr>
          <w:sz w:val="20"/>
          <w:szCs w:val="20"/>
          <w:rtl w:val="0"/>
        </w:rPr>
        <w:t xml:space="preserve">, pp. 320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MOTIVAZIONE DELLA NUOVA ADOZIONE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corso, aggiornato alle ultime novità e ai temi dell’economia più recente (fra cui Brexit, effetti economici della pandemia Covid-19 e relative misure di intervento), presenta un linguaggio chiaro e alla portata dello studente, arricchito da numerosi esempi, mappe concettuali intercalate nel testo e un lessico economico che permette di fissare i concetti principali. Titoletti informativi posti all’inizio dei temi principali anticipano il contenuto del testo e sono utili anche per il ripasso.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volume è strutturato in 9 Unità didattiche, a loro volta divise in Capitoli. In apertura di Unità, proposte di attività in modalità Flipped Classroom sono collegate a video di attualità attivabili tramite smartphone e una tabella sinottica delinea il percorso di Didattica Digitale Integrata per ogni sezione del volume.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All’interno dei Capitoli, le verifiche immediate consentono di testare in itinere la comprensione degli argomenti trattati. Videolezioni interattive, fruibili in digitale, mostrano la costruzione delle principali curve economiche. 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Ripassiamo insieme</w:t>
      </w:r>
      <w:r w:rsidDel="00000000" w:rsidR="00000000" w:rsidRPr="00000000">
        <w:rPr>
          <w:sz w:val="20"/>
          <w:szCs w:val="20"/>
          <w:rtl w:val="0"/>
        </w:rPr>
        <w:t xml:space="preserve">, che chiudono il Capitolo, presentano sintesi strutturate con domande e risposte che facilitano la memorizzazione dei concetti principali e sono disponibili anche in versione audio. Seguono le Verifiche formative per testare le conoscenze e le abilità. Particolare attenzione è prestata al lessico economico e alla preparazione per l’interrogazione: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Guida all’orale</w:t>
      </w:r>
      <w:r w:rsidDel="00000000" w:rsidR="00000000" w:rsidRPr="00000000">
        <w:rPr>
          <w:sz w:val="20"/>
          <w:szCs w:val="20"/>
          <w:rtl w:val="0"/>
        </w:rPr>
        <w:t xml:space="preserve"> fornisce un metodo di studio per impostare le risposte, inoltre sono disponibili un PowerPoint per il ripasso e la corrispondente interrogazione simulata audio.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è caratterizzato da una forte attenzione all’attualità e dall’inquadramento della disciplina nell’economia locale e globale contemporanea, caratterizzata da sistemi sempre più interconnessi tra loro. 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Economia mondo</w:t>
      </w:r>
      <w:r w:rsidDel="00000000" w:rsidR="00000000" w:rsidRPr="00000000">
        <w:rPr>
          <w:sz w:val="20"/>
          <w:szCs w:val="20"/>
          <w:rtl w:val="0"/>
        </w:rPr>
        <w:t xml:space="preserve">, a fine Capitolo, stimolano la riflessione critica sui temi internazionali più attuali e sono spesso accompagnate da un video di approfondimento e dai riferimenti ai corrispondenti collegamenti di Educazione civica.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fine di ogni Unità, i compiti di realtà </w:t>
      </w:r>
      <w:r w:rsidDel="00000000" w:rsidR="00000000" w:rsidRPr="00000000">
        <w:rPr>
          <w:i w:val="1"/>
          <w:sz w:val="20"/>
          <w:szCs w:val="20"/>
          <w:rtl w:val="0"/>
        </w:rPr>
        <w:t xml:space="preserve">Cittadinanza economica</w:t>
      </w:r>
      <w:r w:rsidDel="00000000" w:rsidR="00000000" w:rsidRPr="00000000">
        <w:rPr>
          <w:sz w:val="20"/>
          <w:szCs w:val="20"/>
          <w:rtl w:val="0"/>
        </w:rPr>
        <w:t xml:space="preserve"> forniscono una base per il collegamento dei contenuti disciplinari con i grandi temi del mondo contemporaneo, ma anche un percorso per sviluppare un metodo di studio e competenze disciplinari e trasversali. Le Verifiche di fine Unità (con mappa, audio e test interattivi in digitale) hanno un punteggio in centesimi (con griglie di valutazione nel libro e nella Guida) e simulano il compito in classe.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Completano il percorso didattico due verifiche delle competenze e alcune proposte per lo sviluppo trasversale dell’Educazione civica.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Molto ampia è la dotazione digitale del volume: oltre ai video di apertura di Unità, alle videolezioni che mostrano la costruzione delle curve economiche e ai video collegati alle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Economia mondo </w:t>
      </w:r>
      <w:r w:rsidDel="00000000" w:rsidR="00000000" w:rsidRPr="00000000">
        <w:rPr>
          <w:sz w:val="20"/>
          <w:szCs w:val="20"/>
          <w:rtl w:val="0"/>
        </w:rPr>
        <w:t xml:space="preserve">e ai compiti di realtà, sono disponibili i test autocorrettivi di fine Capitolo e di fine Unità, le mappe di sintesi e i PowerPoint per il ripasso e gli audio delle sintesi di fine Capitolo, delle interrogazioni simulate e delle letture CLIL in lingua inglese.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15250" cy="342900"/>
              <wp:effectExtent b="0" l="0" r="0" t="0"/>
              <wp:wrapTopAndBottom distB="0" distT="0"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15250" cy="342900"/>
              <wp:effectExtent b="0" l="0" r="0" t="0"/>
              <wp:wrapTopAndBottom distB="0" distT="0"/>
              <wp:docPr id="5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CQXiagkNd+gZzTRin2F7AtLqQ==">AMUW2mWFYzO4Heb6RX0HVIa7RjoepHzM0hTezJI+IS1B8P5OmhxOjO44a62Uau+c4kY8vw2XhohilHeYL6yNj17aEDy3I8X4X+cJvqzfmsIcolU3YWeEYag=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