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28938" cy="564380"/>
            <wp:effectExtent b="0" l="0" r="0" t="0"/>
            <wp:wrapTopAndBottom distB="0" dist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8938" cy="5643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Per l’anno scolastico______________ nella classe ______________ si propone l’adozione del testo: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168250</wp:posOffset>
            </wp:positionV>
            <wp:extent cx="433388" cy="434107"/>
            <wp:effectExtent b="0" l="0" r="0" t="0"/>
            <wp:wrapSquare wrapText="bothSides" distB="114300" distT="114300" distL="114300" distR="11430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3388" cy="4341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color w:val="e62e2d"/>
          <w:sz w:val="20"/>
          <w:szCs w:val="20"/>
        </w:rPr>
      </w:pPr>
      <w:r w:rsidDel="00000000" w:rsidR="00000000" w:rsidRPr="00000000">
        <w:rPr>
          <w:b w:val="1"/>
          <w:color w:val="e62e2d"/>
          <w:sz w:val="20"/>
          <w:szCs w:val="20"/>
          <w:rtl w:val="0"/>
        </w:rPr>
        <w:t xml:space="preserve">David Spencer: Gateway to success B2, Macmillan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b w:val="1"/>
          <w:i w:val="1"/>
          <w:color w:val="e62e2d"/>
          <w:sz w:val="20"/>
          <w:szCs w:val="20"/>
        </w:rPr>
      </w:pPr>
      <w:r w:rsidDel="00000000" w:rsidR="00000000" w:rsidRPr="00000000">
        <w:rPr>
          <w:b w:val="1"/>
          <w:i w:val="1"/>
          <w:color w:val="e62e2d"/>
          <w:sz w:val="20"/>
          <w:szCs w:val="20"/>
          <w:rtl w:val="0"/>
        </w:rPr>
        <w:t xml:space="preserve">Corso di lingua inglese per il triennio della Scuola secondaria di secondo grado.</w:t>
      </w:r>
    </w:p>
    <w:p w:rsidR="00000000" w:rsidDel="00000000" w:rsidP="00000000" w:rsidRDefault="00000000" w:rsidRPr="00000000" w14:paraId="000000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color w:val="e62e2d"/>
          <w:sz w:val="20"/>
          <w:szCs w:val="20"/>
          <w:rtl w:val="0"/>
        </w:rPr>
        <w:t xml:space="preserve">Configurazione: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color w:val="e62e2d"/>
          <w:sz w:val="20"/>
          <w:szCs w:val="20"/>
        </w:rPr>
      </w:pPr>
      <w:r w:rsidDel="00000000" w:rsidR="00000000" w:rsidRPr="00000000">
        <w:rPr>
          <w:color w:val="e62e2d"/>
          <w:sz w:val="20"/>
          <w:szCs w:val="20"/>
          <w:rtl w:val="0"/>
        </w:rPr>
        <w:t xml:space="preserve">Per lo studente: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Gateway to success B2 + Ready for Exams, pp. 312 + pp. 120                     9788873869504 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Euro 30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Gateway to success B2 FOR ALL, pp. 120 9788836191451 euro 10 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Libro digitale HUB Young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b w:val="1"/>
          <w:color w:val="e62e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color w:val="e62e2d"/>
          <w:sz w:val="20"/>
          <w:szCs w:val="20"/>
        </w:rPr>
      </w:pPr>
      <w:r w:rsidDel="00000000" w:rsidR="00000000" w:rsidRPr="00000000">
        <w:rPr>
          <w:color w:val="e62e2d"/>
          <w:sz w:val="20"/>
          <w:szCs w:val="20"/>
          <w:rtl w:val="0"/>
        </w:rPr>
        <w:t xml:space="preserve">Per il docente:</w:t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Teacher’s and Test Book B2, pp. 552                                                                             9788873869764</w:t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Chiavetta USB contenente: tutti i video del corso, </w:t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tutti i test e i test aggiuntivi con i relativi audio, </w:t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programmazione didattica (anche per nuclei fondanti).                                                  9788873869863</w:t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Libro digitale HUB Young</w:t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sostituzione del testo in uso________________________________________ per i seguenti motivi:</w:t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jc w:val="both"/>
        <w:rPr>
          <w:color w:val="231f20"/>
          <w:sz w:val="20"/>
          <w:szCs w:val="20"/>
        </w:rPr>
      </w:pPr>
      <w:r w:rsidDel="00000000" w:rsidR="00000000" w:rsidRPr="00000000">
        <w:rPr>
          <w:b w:val="1"/>
          <w:i w:val="1"/>
          <w:smallCaps w:val="1"/>
          <w:sz w:val="20"/>
          <w:szCs w:val="20"/>
          <w:rtl w:val="0"/>
        </w:rPr>
        <w:t xml:space="preserve">gateway to success</w:t>
      </w:r>
      <w:r w:rsidDel="00000000" w:rsidR="00000000" w:rsidRPr="00000000">
        <w:rPr>
          <w:color w:val="231f20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i w:val="1"/>
          <w:color w:val="231f20"/>
          <w:sz w:val="20"/>
          <w:szCs w:val="20"/>
          <w:rtl w:val="0"/>
        </w:rPr>
        <w:t xml:space="preserve">B2</w:t>
      </w:r>
      <w:r w:rsidDel="00000000" w:rsidR="00000000" w:rsidRPr="00000000">
        <w:rPr>
          <w:color w:val="231f20"/>
          <w:sz w:val="20"/>
          <w:szCs w:val="20"/>
          <w:rtl w:val="0"/>
        </w:rPr>
        <w:t xml:space="preserve"> è progettato per condurre a un grado di padronanza dell’inglese che va </w:t>
      </w:r>
      <w:r w:rsidDel="00000000" w:rsidR="00000000" w:rsidRPr="00000000">
        <w:rPr>
          <w:b w:val="1"/>
          <w:color w:val="231f20"/>
          <w:sz w:val="20"/>
          <w:szCs w:val="20"/>
          <w:rtl w:val="0"/>
        </w:rPr>
        <w:t xml:space="preserve">oltre il livello B2</w:t>
      </w:r>
      <w:r w:rsidDel="00000000" w:rsidR="00000000" w:rsidRPr="00000000">
        <w:rPr>
          <w:color w:val="231f20"/>
          <w:sz w:val="20"/>
          <w:szCs w:val="20"/>
          <w:rtl w:val="0"/>
        </w:rPr>
        <w:t xml:space="preserve"> del Quadro Comune di Riferimento.</w:t>
      </w:r>
    </w:p>
    <w:p w:rsidR="00000000" w:rsidDel="00000000" w:rsidP="00000000" w:rsidRDefault="00000000" w:rsidRPr="00000000" w14:paraId="0000001E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 volume si compone di 10 unità e di due 2 extra </w:t>
      </w:r>
      <w:r w:rsidDel="00000000" w:rsidR="00000000" w:rsidRPr="00000000">
        <w:rPr>
          <w:i w:val="1"/>
          <w:sz w:val="20"/>
          <w:szCs w:val="20"/>
          <w:rtl w:val="0"/>
        </w:rPr>
        <w:t xml:space="preserve">units</w:t>
      </w:r>
      <w:r w:rsidDel="00000000" w:rsidR="00000000" w:rsidRPr="00000000">
        <w:rPr>
          <w:sz w:val="20"/>
          <w:szCs w:val="20"/>
          <w:rtl w:val="0"/>
        </w:rPr>
        <w:t xml:space="preserve"> di livello B2+. Ogni unità contiene le seguenti sezioni: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1"/>
        </w:numPr>
        <w:spacing w:line="240" w:lineRule="auto"/>
        <w:ind w:hanging="360"/>
        <w:jc w:val="both"/>
        <w:rPr>
          <w:b w:val="0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Doppia pagina di apertura</w:t>
      </w:r>
      <w:r w:rsidDel="00000000" w:rsidR="00000000" w:rsidRPr="00000000">
        <w:rPr>
          <w:sz w:val="20"/>
          <w:szCs w:val="20"/>
          <w:rtl w:val="0"/>
        </w:rPr>
        <w:t xml:space="preserve"> dedicata al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Vocabulary</w:t>
      </w:r>
      <w:r w:rsidDel="00000000" w:rsidR="00000000" w:rsidRPr="00000000">
        <w:rPr>
          <w:sz w:val="20"/>
          <w:szCs w:val="20"/>
          <w:rtl w:val="0"/>
        </w:rPr>
        <w:t xml:space="preserve">, con una parte riservata al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Vlog of Change</w:t>
      </w:r>
      <w:r w:rsidDel="00000000" w:rsidR="00000000" w:rsidRPr="00000000">
        <w:rPr>
          <w:sz w:val="20"/>
          <w:szCs w:val="20"/>
          <w:rtl w:val="0"/>
        </w:rPr>
        <w:t xml:space="preserve">, video in cui viene messo in contesto il lessico della </w:t>
      </w:r>
      <w:r w:rsidDel="00000000" w:rsidR="00000000" w:rsidRPr="00000000">
        <w:rPr>
          <w:i w:val="1"/>
          <w:sz w:val="20"/>
          <w:szCs w:val="20"/>
          <w:rtl w:val="0"/>
        </w:rPr>
        <w:t xml:space="preserve">unit</w:t>
      </w:r>
      <w:r w:rsidDel="00000000" w:rsidR="00000000" w:rsidRPr="00000000">
        <w:rPr>
          <w:sz w:val="20"/>
          <w:szCs w:val="20"/>
          <w:rtl w:val="0"/>
        </w:rPr>
        <w:t xml:space="preserve"> e vengono trattati argomenti inerenti gli obiettivi di </w:t>
      </w:r>
      <w:r w:rsidDel="00000000" w:rsidR="00000000" w:rsidRPr="00000000">
        <w:rPr>
          <w:b w:val="1"/>
          <w:sz w:val="20"/>
          <w:szCs w:val="20"/>
          <w:rtl w:val="0"/>
        </w:rPr>
        <w:t xml:space="preserve">Agenda 2030</w:t>
      </w:r>
      <w:r w:rsidDel="00000000" w:rsidR="00000000" w:rsidRPr="00000000">
        <w:rPr>
          <w:sz w:val="20"/>
          <w:szCs w:val="20"/>
          <w:rtl w:val="0"/>
        </w:rPr>
        <w:t xml:space="preserve">. Una seconda sezione di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Vocabulary</w:t>
      </w:r>
      <w:r w:rsidDel="00000000" w:rsidR="00000000" w:rsidRPr="00000000">
        <w:rPr>
          <w:sz w:val="20"/>
          <w:szCs w:val="20"/>
          <w:rtl w:val="0"/>
        </w:rPr>
        <w:t xml:space="preserve"> affronta aspetti più specifici del lessico.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240" w:lineRule="auto"/>
        <w:ind w:hanging="360"/>
        <w:jc w:val="both"/>
        <w:rPr>
          <w:b w:val="0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Grammar in context</w:t>
      </w:r>
      <w:r w:rsidDel="00000000" w:rsidR="00000000" w:rsidRPr="00000000">
        <w:rPr>
          <w:sz w:val="20"/>
          <w:szCs w:val="20"/>
          <w:rtl w:val="0"/>
        </w:rPr>
        <w:t xml:space="preserve">: gli argomenti grammaticali dell’unità sono presentati in contesto, con un approccio induttivo; i </w:t>
      </w:r>
      <w:r w:rsidDel="00000000" w:rsidR="00000000" w:rsidRPr="00000000">
        <w:rPr>
          <w:b w:val="1"/>
          <w:sz w:val="20"/>
          <w:szCs w:val="20"/>
          <w:rtl w:val="0"/>
        </w:rPr>
        <w:t xml:space="preserve">video</w:t>
      </w:r>
      <w:r w:rsidDel="00000000" w:rsidR="00000000" w:rsidRPr="00000000">
        <w:rPr>
          <w:sz w:val="20"/>
          <w:szCs w:val="20"/>
          <w:rtl w:val="0"/>
        </w:rPr>
        <w:t xml:space="preserve"> in cui l’autore David Spencer presenta l’argomento grammaticale, costituiscono una spiegazione aggiuntiva a quella dell’insegnante, e possono essere utilizzati in modalità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Flipped Classroom</w:t>
      </w:r>
      <w:r w:rsidDel="00000000" w:rsidR="00000000" w:rsidRPr="00000000">
        <w:rPr>
          <w:sz w:val="20"/>
          <w:szCs w:val="20"/>
          <w:rtl w:val="0"/>
        </w:rPr>
        <w:t xml:space="preserve">. Numerosi esercizi del tipo </w:t>
      </w:r>
      <w:r w:rsidDel="00000000" w:rsidR="00000000" w:rsidRPr="00000000">
        <w:rPr>
          <w:i w:val="1"/>
          <w:sz w:val="20"/>
          <w:szCs w:val="20"/>
          <w:rtl w:val="0"/>
        </w:rPr>
        <w:t xml:space="preserve">Use of English</w:t>
      </w:r>
      <w:r w:rsidDel="00000000" w:rsidR="00000000" w:rsidRPr="00000000">
        <w:rPr>
          <w:sz w:val="20"/>
          <w:szCs w:val="20"/>
          <w:rtl w:val="0"/>
        </w:rPr>
        <w:t xml:space="preserve"> forniscono materiale per esercitare ulteriormente lessico e grammatica.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240" w:lineRule="auto"/>
        <w:ind w:hanging="360"/>
        <w:jc w:val="both"/>
        <w:rPr>
          <w:b w:val="0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Reading</w:t>
      </w:r>
      <w:r w:rsidDel="00000000" w:rsidR="00000000" w:rsidRPr="00000000">
        <w:rPr>
          <w:i w:val="1"/>
          <w:sz w:val="20"/>
          <w:szCs w:val="20"/>
          <w:rtl w:val="0"/>
        </w:rPr>
        <w:t xml:space="preserve">,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Listening</w:t>
      </w:r>
      <w:r w:rsidDel="00000000" w:rsidR="00000000" w:rsidRPr="00000000">
        <w:rPr>
          <w:i w:val="1"/>
          <w:sz w:val="20"/>
          <w:szCs w:val="20"/>
          <w:rtl w:val="0"/>
        </w:rPr>
        <w:t xml:space="preserve">,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Speaking</w:t>
      </w:r>
      <w:r w:rsidDel="00000000" w:rsidR="00000000" w:rsidRPr="00000000">
        <w:rPr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e</w:t>
      </w:r>
      <w:r w:rsidDel="00000000" w:rsidR="00000000" w:rsidRPr="00000000">
        <w:rPr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Writing</w:t>
      </w:r>
      <w:r w:rsidDel="00000000" w:rsidR="00000000" w:rsidRPr="00000000">
        <w:rPr>
          <w:sz w:val="20"/>
          <w:szCs w:val="20"/>
          <w:rtl w:val="0"/>
        </w:rPr>
        <w:t xml:space="preserve">: le pagine dedicate alle 4 abilità linguistiche aiutano a sviluppare sia le </w:t>
      </w:r>
      <w:r w:rsidDel="00000000" w:rsidR="00000000" w:rsidRPr="00000000">
        <w:rPr>
          <w:i w:val="1"/>
          <w:sz w:val="20"/>
          <w:szCs w:val="20"/>
          <w:rtl w:val="0"/>
        </w:rPr>
        <w:t xml:space="preserve">skills</w:t>
      </w:r>
      <w:r w:rsidDel="00000000" w:rsidR="00000000" w:rsidRPr="00000000">
        <w:rPr>
          <w:sz w:val="20"/>
          <w:szCs w:val="20"/>
          <w:rtl w:val="0"/>
        </w:rPr>
        <w:t xml:space="preserve"> di produzione, sia quelle ricettive, con speciale focus sull’esame </w:t>
      </w:r>
      <w:r w:rsidDel="00000000" w:rsidR="00000000" w:rsidRPr="00000000">
        <w:rPr>
          <w:b w:val="1"/>
          <w:sz w:val="20"/>
          <w:szCs w:val="20"/>
          <w:rtl w:val="0"/>
        </w:rPr>
        <w:t xml:space="preserve">B2 First</w:t>
      </w:r>
      <w:r w:rsidDel="00000000" w:rsidR="00000000" w:rsidRPr="00000000">
        <w:rPr>
          <w:sz w:val="20"/>
          <w:szCs w:val="20"/>
          <w:rtl w:val="0"/>
        </w:rPr>
        <w:t xml:space="preserve">. </w:t>
      </w:r>
      <w:r w:rsidDel="00000000" w:rsidR="00000000" w:rsidRPr="00000000">
        <w:rPr>
          <w:i w:val="1"/>
          <w:sz w:val="20"/>
          <w:szCs w:val="20"/>
          <w:rtl w:val="0"/>
        </w:rPr>
        <w:t xml:space="preserve">Speaking</w:t>
      </w:r>
      <w:r w:rsidDel="00000000" w:rsidR="00000000" w:rsidRPr="00000000">
        <w:rPr>
          <w:sz w:val="20"/>
          <w:szCs w:val="20"/>
          <w:rtl w:val="0"/>
        </w:rPr>
        <w:t xml:space="preserve"> e </w:t>
      </w:r>
      <w:r w:rsidDel="00000000" w:rsidR="00000000" w:rsidRPr="00000000">
        <w:rPr>
          <w:i w:val="1"/>
          <w:sz w:val="20"/>
          <w:szCs w:val="20"/>
          <w:rtl w:val="0"/>
        </w:rPr>
        <w:t xml:space="preserve">Writing,</w:t>
      </w:r>
      <w:r w:rsidDel="00000000" w:rsidR="00000000" w:rsidRPr="00000000">
        <w:rPr>
          <w:sz w:val="20"/>
          <w:szCs w:val="20"/>
          <w:rtl w:val="0"/>
        </w:rPr>
        <w:t xml:space="preserve"> in particolare, forniscono modelli di riferimento per la </w:t>
      </w:r>
      <w:r w:rsidDel="00000000" w:rsidR="00000000" w:rsidRPr="00000000">
        <w:rPr>
          <w:i w:val="1"/>
          <w:sz w:val="20"/>
          <w:szCs w:val="20"/>
          <w:rtl w:val="0"/>
        </w:rPr>
        <w:t xml:space="preserve">Communication</w:t>
      </w:r>
      <w:r w:rsidDel="00000000" w:rsidR="00000000" w:rsidRPr="00000000">
        <w:rPr>
          <w:sz w:val="20"/>
          <w:szCs w:val="20"/>
          <w:rtl w:val="0"/>
        </w:rPr>
        <w:t xml:space="preserve">, con numerose attività che guidano lo studente ad acquisire competenze linguistiche da utilizzare in contesti scolastici ed extra-scolastici. 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240" w:lineRule="auto"/>
        <w:ind w:hanging="360"/>
        <w:jc w:val="both"/>
        <w:rPr>
          <w:b w:val="0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Citizenship Today</w:t>
      </w:r>
      <w:r w:rsidDel="00000000" w:rsidR="00000000" w:rsidRPr="00000000">
        <w:rPr>
          <w:sz w:val="20"/>
          <w:szCs w:val="20"/>
          <w:rtl w:val="0"/>
        </w:rPr>
        <w:t xml:space="preserve">, una doppia pagina con documenti attuali di cittadinanza globale, allenano le 4 abilità linguistiche e incentivano il confronto in lingua grazie agli esercizi di tipologia ‘</w:t>
      </w:r>
      <w:r w:rsidDel="00000000" w:rsidR="00000000" w:rsidRPr="00000000">
        <w:rPr>
          <w:i w:val="1"/>
          <w:sz w:val="20"/>
          <w:szCs w:val="20"/>
          <w:rtl w:val="0"/>
        </w:rPr>
        <w:t xml:space="preserve">Debate’</w:t>
      </w:r>
      <w:r w:rsidDel="00000000" w:rsidR="00000000" w:rsidRPr="00000000">
        <w:rPr>
          <w:sz w:val="20"/>
          <w:szCs w:val="20"/>
          <w:rtl w:val="0"/>
        </w:rPr>
        <w:t xml:space="preserve">, da svolgere in classe (accompagnati da </w:t>
      </w:r>
      <w:r w:rsidDel="00000000" w:rsidR="00000000" w:rsidRPr="00000000">
        <w:rPr>
          <w:b w:val="1"/>
          <w:sz w:val="20"/>
          <w:szCs w:val="20"/>
          <w:rtl w:val="0"/>
        </w:rPr>
        <w:t xml:space="preserve">video</w:t>
      </w:r>
      <w:r w:rsidDel="00000000" w:rsidR="00000000" w:rsidRPr="00000000">
        <w:rPr>
          <w:sz w:val="20"/>
          <w:szCs w:val="20"/>
          <w:rtl w:val="0"/>
        </w:rPr>
        <w:t xml:space="preserve"> a disposizione del docente che forniscono spunti su come organizzare un </w:t>
      </w:r>
      <w:r w:rsidDel="00000000" w:rsidR="00000000" w:rsidRPr="00000000">
        <w:rPr>
          <w:i w:val="1"/>
          <w:sz w:val="20"/>
          <w:szCs w:val="20"/>
          <w:rtl w:val="0"/>
        </w:rPr>
        <w:t xml:space="preserve">debate</w:t>
      </w:r>
      <w:r w:rsidDel="00000000" w:rsidR="00000000" w:rsidRPr="00000000">
        <w:rPr>
          <w:sz w:val="20"/>
          <w:szCs w:val="20"/>
          <w:rtl w:val="0"/>
        </w:rPr>
        <w:t xml:space="preserve"> in classe). La sezione dedicata al </w:t>
      </w:r>
      <w:r w:rsidDel="00000000" w:rsidR="00000000" w:rsidRPr="00000000">
        <w:rPr>
          <w:b w:val="1"/>
          <w:sz w:val="20"/>
          <w:szCs w:val="20"/>
          <w:rtl w:val="0"/>
        </w:rPr>
        <w:t xml:space="preserve">video di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Life Skills</w:t>
      </w:r>
      <w:r w:rsidDel="00000000" w:rsidR="00000000" w:rsidRPr="00000000">
        <w:rPr>
          <w:sz w:val="20"/>
          <w:szCs w:val="20"/>
          <w:rtl w:val="0"/>
        </w:rPr>
        <w:t xml:space="preserve"> è completata da esercizi di sfruttamento ed è utile per lavorare sulle competenze trasversali.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1"/>
        </w:numPr>
        <w:spacing w:line="240" w:lineRule="auto"/>
        <w:ind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 doppia pagina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Gateway to Exams</w:t>
      </w:r>
      <w:r w:rsidDel="00000000" w:rsidR="00000000" w:rsidRPr="00000000">
        <w:rPr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aiuta gli studenti nella preparazione alle certificazioni linguistiche </w:t>
      </w:r>
      <w:r w:rsidDel="00000000" w:rsidR="00000000" w:rsidRPr="00000000">
        <w:rPr>
          <w:b w:val="1"/>
          <w:sz w:val="20"/>
          <w:szCs w:val="20"/>
          <w:rtl w:val="0"/>
        </w:rPr>
        <w:t xml:space="preserve">B2 First</w:t>
      </w:r>
      <w:r w:rsidDel="00000000" w:rsidR="00000000" w:rsidRPr="00000000">
        <w:rPr>
          <w:sz w:val="20"/>
          <w:szCs w:val="20"/>
          <w:rtl w:val="0"/>
        </w:rPr>
        <w:t xml:space="preserve"> e </w:t>
      </w:r>
      <w:r w:rsidDel="00000000" w:rsidR="00000000" w:rsidRPr="00000000">
        <w:rPr>
          <w:b w:val="1"/>
          <w:sz w:val="20"/>
          <w:szCs w:val="20"/>
          <w:rtl w:val="0"/>
        </w:rPr>
        <w:t xml:space="preserve">IELTS.</w:t>
      </w:r>
    </w:p>
    <w:p w:rsidR="00000000" w:rsidDel="00000000" w:rsidP="00000000" w:rsidRDefault="00000000" w:rsidRPr="00000000" w14:paraId="00000024">
      <w:pPr>
        <w:widowControl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1"/>
        </w:numPr>
        <w:spacing w:line="240" w:lineRule="auto"/>
        <w:ind w:hanging="360"/>
        <w:jc w:val="both"/>
        <w:rPr>
          <w:b w:val="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 sezione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INVALSI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training</w:t>
      </w:r>
      <w:r w:rsidDel="00000000" w:rsidR="00000000" w:rsidRPr="00000000">
        <w:rPr>
          <w:sz w:val="20"/>
          <w:szCs w:val="20"/>
          <w:rtl w:val="0"/>
        </w:rPr>
        <w:t xml:space="preserve"> consente di familiarizzare con gli esercizi di tipologia ministeriale e, grazie all’espansione sulla piattaforma HUB Invalsi, permette di mettersi alla prova con la modalità </w:t>
      </w:r>
      <w:r w:rsidDel="00000000" w:rsidR="00000000" w:rsidRPr="00000000">
        <w:rPr>
          <w:i w:val="1"/>
          <w:sz w:val="20"/>
          <w:szCs w:val="20"/>
          <w:rtl w:val="0"/>
        </w:rPr>
        <w:t xml:space="preserve">computer based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240" w:lineRule="auto"/>
        <w:ind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Nel </w:t>
      </w:r>
      <w:r w:rsidDel="00000000" w:rsidR="00000000" w:rsidRPr="00000000">
        <w:rPr>
          <w:b w:val="1"/>
          <w:sz w:val="20"/>
          <w:szCs w:val="20"/>
          <w:rtl w:val="0"/>
        </w:rPr>
        <w:t xml:space="preserve">Workbook,</w:t>
      </w:r>
      <w:r w:rsidDel="00000000" w:rsidR="00000000" w:rsidRPr="00000000">
        <w:rPr>
          <w:sz w:val="20"/>
          <w:szCs w:val="20"/>
          <w:rtl w:val="0"/>
        </w:rPr>
        <w:t xml:space="preserve"> la </w:t>
      </w:r>
      <w:r w:rsidDel="00000000" w:rsidR="00000000" w:rsidRPr="00000000">
        <w:rPr>
          <w:i w:val="1"/>
          <w:sz w:val="20"/>
          <w:szCs w:val="20"/>
          <w:rtl w:val="0"/>
        </w:rPr>
        <w:t xml:space="preserve">Grammar Reference</w:t>
      </w:r>
      <w:r w:rsidDel="00000000" w:rsidR="00000000" w:rsidRPr="00000000">
        <w:rPr>
          <w:sz w:val="20"/>
          <w:szCs w:val="20"/>
          <w:rtl w:val="0"/>
        </w:rPr>
        <w:t xml:space="preserve"> favorisce la memorizzazione di tutte le strutture apprese. La successiva doppia pagina, </w:t>
      </w:r>
      <w:r w:rsidDel="00000000" w:rsidR="00000000" w:rsidRPr="00000000">
        <w:rPr>
          <w:i w:val="1"/>
          <w:sz w:val="20"/>
          <w:szCs w:val="20"/>
          <w:rtl w:val="0"/>
        </w:rPr>
        <w:t xml:space="preserve">Learning Organiser</w:t>
      </w:r>
      <w:r w:rsidDel="00000000" w:rsidR="00000000" w:rsidRPr="00000000">
        <w:rPr>
          <w:sz w:val="20"/>
          <w:szCs w:val="20"/>
          <w:rtl w:val="0"/>
        </w:rPr>
        <w:t xml:space="preserve">, grazie a mappe e tabelle da completare, aiuta a riorganizzare le conoscenze di base di lessico e grammatica dell’unità.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 </w:t>
      </w:r>
      <w:r w:rsidDel="00000000" w:rsidR="00000000" w:rsidRPr="00000000">
        <w:rPr>
          <w:b w:val="1"/>
          <w:sz w:val="20"/>
          <w:szCs w:val="20"/>
          <w:rtl w:val="0"/>
        </w:rPr>
        <w:t xml:space="preserve">chiavetta USB</w:t>
      </w:r>
      <w:r w:rsidDel="00000000" w:rsidR="00000000" w:rsidRPr="00000000">
        <w:rPr>
          <w:sz w:val="20"/>
          <w:szCs w:val="20"/>
          <w:rtl w:val="0"/>
        </w:rPr>
        <w:t xml:space="preserve"> destinata al docente contiene, oltre al pacchetto relativo al Teacher’s and Test Book, tutti i materiali </w:t>
      </w:r>
      <w:r w:rsidDel="00000000" w:rsidR="00000000" w:rsidRPr="00000000">
        <w:rPr>
          <w:b w:val="1"/>
          <w:sz w:val="20"/>
          <w:szCs w:val="20"/>
          <w:rtl w:val="0"/>
        </w:rPr>
        <w:t xml:space="preserve">video</w:t>
      </w:r>
      <w:r w:rsidDel="00000000" w:rsidR="00000000" w:rsidRPr="00000000">
        <w:rPr>
          <w:sz w:val="20"/>
          <w:szCs w:val="20"/>
          <w:rtl w:val="0"/>
        </w:rPr>
        <w:t xml:space="preserve"> che aiutano nell’apprendimento e consentono lezioni divertenti e inclusive.</w:t>
      </w:r>
    </w:p>
    <w:p w:rsidR="00000000" w:rsidDel="00000000" w:rsidP="00000000" w:rsidRDefault="00000000" w:rsidRPr="00000000" w14:paraId="0000002C">
      <w:pPr>
        <w:widowControl w:val="0"/>
        <w:spacing w:line="240" w:lineRule="auto"/>
        <w:jc w:val="both"/>
        <w:rPr>
          <w:color w:val="231f2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Diversi i </w:t>
      </w:r>
      <w:r w:rsidDel="00000000" w:rsidR="00000000" w:rsidRPr="00000000">
        <w:rPr>
          <w:b w:val="1"/>
          <w:sz w:val="20"/>
          <w:szCs w:val="20"/>
          <w:rtl w:val="0"/>
        </w:rPr>
        <w:t xml:space="preserve">punti di forza</w:t>
      </w:r>
      <w:r w:rsidDel="00000000" w:rsidR="00000000" w:rsidRPr="00000000">
        <w:rPr>
          <w:sz w:val="20"/>
          <w:szCs w:val="20"/>
          <w:rtl w:val="0"/>
        </w:rPr>
        <w:t xml:space="preserve"> del corso: 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line="240" w:lineRule="auto"/>
        <w:ind w:hanging="36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ingaggio dello studente</w:t>
      </w:r>
      <w:r w:rsidDel="00000000" w:rsidR="00000000" w:rsidRPr="00000000">
        <w:rPr>
          <w:sz w:val="20"/>
          <w:szCs w:val="20"/>
          <w:rtl w:val="0"/>
        </w:rPr>
        <w:t xml:space="preserve"> grazie</w:t>
      </w:r>
      <w:r w:rsidDel="00000000" w:rsidR="00000000" w:rsidRPr="00000000">
        <w:rPr>
          <w:i w:val="1"/>
          <w:sz w:val="20"/>
          <w:szCs w:val="20"/>
          <w:rtl w:val="0"/>
        </w:rPr>
        <w:t xml:space="preserve"> a topics</w:t>
      </w:r>
      <w:r w:rsidDel="00000000" w:rsidR="00000000" w:rsidRPr="00000000">
        <w:rPr>
          <w:sz w:val="20"/>
          <w:szCs w:val="20"/>
          <w:rtl w:val="0"/>
        </w:rPr>
        <w:t xml:space="preserve"> accattivanti e contemporanei con testi autentici, calibrati sui reali interessi dei ragazzi e numerosissimi video.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line="240" w:lineRule="auto"/>
        <w:ind w:hanging="36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approccio comunicativo</w:t>
      </w:r>
      <w:r w:rsidDel="00000000" w:rsidR="00000000" w:rsidRPr="00000000">
        <w:rPr>
          <w:sz w:val="20"/>
          <w:szCs w:val="20"/>
          <w:rtl w:val="0"/>
        </w:rPr>
        <w:t xml:space="preserve"> a 360° grazie ai numerosi esercizi di </w:t>
      </w:r>
      <w:r w:rsidDel="00000000" w:rsidR="00000000" w:rsidRPr="00000000">
        <w:rPr>
          <w:i w:val="1"/>
          <w:sz w:val="20"/>
          <w:szCs w:val="20"/>
          <w:rtl w:val="0"/>
        </w:rPr>
        <w:t xml:space="preserve">Speaking challenge</w:t>
      </w:r>
      <w:r w:rsidDel="00000000" w:rsidR="00000000" w:rsidRPr="00000000">
        <w:rPr>
          <w:sz w:val="20"/>
          <w:szCs w:val="20"/>
          <w:rtl w:val="0"/>
        </w:rPr>
        <w:t xml:space="preserve">, per incoraggiare gli studenti a prendere la parola, e a intere sezioni dedicate alle competenze comunicative (</w:t>
      </w:r>
      <w:r w:rsidDel="00000000" w:rsidR="00000000" w:rsidRPr="00000000">
        <w:rPr>
          <w:i w:val="1"/>
          <w:sz w:val="20"/>
          <w:szCs w:val="20"/>
          <w:rtl w:val="0"/>
        </w:rPr>
        <w:t xml:space="preserve">Speaking</w:t>
      </w:r>
      <w:r w:rsidDel="00000000" w:rsidR="00000000" w:rsidRPr="00000000">
        <w:rPr>
          <w:sz w:val="20"/>
          <w:szCs w:val="20"/>
          <w:rtl w:val="0"/>
        </w:rPr>
        <w:t xml:space="preserve"> e </w:t>
      </w:r>
      <w:r w:rsidDel="00000000" w:rsidR="00000000" w:rsidRPr="00000000">
        <w:rPr>
          <w:i w:val="1"/>
          <w:sz w:val="20"/>
          <w:szCs w:val="20"/>
          <w:rtl w:val="0"/>
        </w:rPr>
        <w:t xml:space="preserve">Writing</w:t>
      </w:r>
      <w:r w:rsidDel="00000000" w:rsidR="00000000" w:rsidRPr="00000000">
        <w:rPr>
          <w:sz w:val="20"/>
          <w:szCs w:val="20"/>
          <w:rtl w:val="0"/>
        </w:rPr>
        <w:t xml:space="preserve">).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line="240" w:lineRule="auto"/>
        <w:ind w:hanging="36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costante assistenza</w:t>
      </w:r>
      <w:r w:rsidDel="00000000" w:rsidR="00000000" w:rsidRPr="00000000">
        <w:rPr>
          <w:sz w:val="20"/>
          <w:szCs w:val="20"/>
          <w:rtl w:val="0"/>
        </w:rPr>
        <w:t xml:space="preserve"> allo studio grazie alle pagine </w:t>
      </w:r>
      <w:r w:rsidDel="00000000" w:rsidR="00000000" w:rsidRPr="00000000">
        <w:rPr>
          <w:i w:val="1"/>
          <w:sz w:val="20"/>
          <w:szCs w:val="20"/>
          <w:rtl w:val="0"/>
        </w:rPr>
        <w:t xml:space="preserve">Learning Organiser</w:t>
      </w:r>
      <w:r w:rsidDel="00000000" w:rsidR="00000000" w:rsidRPr="00000000">
        <w:rPr>
          <w:sz w:val="20"/>
          <w:szCs w:val="20"/>
          <w:rtl w:val="0"/>
        </w:rPr>
        <w:t xml:space="preserve">, alle numerose tipologie di </w:t>
      </w:r>
      <w:r w:rsidDel="00000000" w:rsidR="00000000" w:rsidRPr="00000000">
        <w:rPr>
          <w:b w:val="1"/>
          <w:sz w:val="20"/>
          <w:szCs w:val="20"/>
          <w:rtl w:val="0"/>
        </w:rPr>
        <w:t xml:space="preserve">test BES</w:t>
      </w:r>
      <w:r w:rsidDel="00000000" w:rsidR="00000000" w:rsidRPr="00000000">
        <w:rPr>
          <w:sz w:val="20"/>
          <w:szCs w:val="20"/>
          <w:rtl w:val="0"/>
        </w:rPr>
        <w:t xml:space="preserve"> per il docente e al </w:t>
      </w:r>
      <w:r w:rsidDel="00000000" w:rsidR="00000000" w:rsidRPr="00000000">
        <w:rPr>
          <w:b w:val="1"/>
          <w:sz w:val="20"/>
          <w:szCs w:val="20"/>
          <w:rtl w:val="0"/>
        </w:rPr>
        <w:t xml:space="preserve">volume-ombra</w:t>
      </w:r>
      <w:r w:rsidDel="00000000" w:rsidR="00000000" w:rsidRPr="00000000">
        <w:rPr>
          <w:sz w:val="20"/>
          <w:szCs w:val="20"/>
          <w:rtl w:val="0"/>
        </w:rPr>
        <w:t xml:space="preserve"> dedicato alla didattica inclusiva.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line="240" w:lineRule="auto"/>
        <w:ind w:hanging="36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struttura chiara e ben organizzata</w:t>
      </w:r>
      <w:r w:rsidDel="00000000" w:rsidR="00000000" w:rsidRPr="00000000">
        <w:rPr>
          <w:sz w:val="20"/>
          <w:szCs w:val="20"/>
          <w:rtl w:val="0"/>
        </w:rPr>
        <w:t xml:space="preserve"> che permette un solido allenamento delle 4 abilità linguistiche, con focus particolare sulla </w:t>
      </w:r>
      <w:r w:rsidDel="00000000" w:rsidR="00000000" w:rsidRPr="00000000">
        <w:rPr>
          <w:i w:val="1"/>
          <w:sz w:val="20"/>
          <w:szCs w:val="20"/>
          <w:rtl w:val="0"/>
        </w:rPr>
        <w:t xml:space="preserve">Communication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line="240" w:lineRule="auto"/>
        <w:ind w:hanging="36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approccio induttivo della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Grammar in context</w:t>
      </w:r>
      <w:r w:rsidDel="00000000" w:rsidR="00000000" w:rsidRPr="00000000">
        <w:rPr>
          <w:sz w:val="20"/>
          <w:szCs w:val="20"/>
          <w:rtl w:val="0"/>
        </w:rPr>
        <w:t xml:space="preserve">, rafforzato dai video di grammatica a cura dello stesso autore.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line="240" w:lineRule="auto"/>
        <w:ind w:hanging="36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nuovi temi di cittadinanza</w:t>
      </w:r>
      <w:r w:rsidDel="00000000" w:rsidR="00000000" w:rsidRPr="00000000">
        <w:rPr>
          <w:sz w:val="20"/>
          <w:szCs w:val="20"/>
          <w:rtl w:val="0"/>
        </w:rPr>
        <w:t xml:space="preserve"> sia nei video </w:t>
      </w:r>
      <w:r w:rsidDel="00000000" w:rsidR="00000000" w:rsidRPr="00000000">
        <w:rPr>
          <w:i w:val="1"/>
          <w:sz w:val="20"/>
          <w:szCs w:val="20"/>
          <w:rtl w:val="0"/>
        </w:rPr>
        <w:t xml:space="preserve">Vlog of Change</w:t>
      </w:r>
      <w:r w:rsidDel="00000000" w:rsidR="00000000" w:rsidRPr="00000000">
        <w:rPr>
          <w:sz w:val="20"/>
          <w:szCs w:val="20"/>
          <w:rtl w:val="0"/>
        </w:rPr>
        <w:t xml:space="preserve"> sia in quelli sulle competenze trasversali (</w:t>
      </w:r>
      <w:r w:rsidDel="00000000" w:rsidR="00000000" w:rsidRPr="00000000">
        <w:rPr>
          <w:i w:val="1"/>
          <w:sz w:val="20"/>
          <w:szCs w:val="20"/>
          <w:rtl w:val="0"/>
        </w:rPr>
        <w:t xml:space="preserve">Life Skills</w:t>
      </w:r>
      <w:r w:rsidDel="00000000" w:rsidR="00000000" w:rsidRPr="00000000">
        <w:rPr>
          <w:sz w:val="20"/>
          <w:szCs w:val="20"/>
          <w:rtl w:val="0"/>
        </w:rPr>
        <w:t xml:space="preserve">) e nelle </w:t>
      </w:r>
      <w:r w:rsidDel="00000000" w:rsidR="00000000" w:rsidRPr="00000000">
        <w:rPr>
          <w:i w:val="1"/>
          <w:sz w:val="20"/>
          <w:szCs w:val="20"/>
          <w:rtl w:val="0"/>
        </w:rPr>
        <w:t xml:space="preserve">pagine Citizenship Today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line="240" w:lineRule="auto"/>
        <w:ind w:hanging="36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ricchezza di verifiche</w:t>
      </w:r>
      <w:r w:rsidDel="00000000" w:rsidR="00000000" w:rsidRPr="00000000">
        <w:rPr>
          <w:sz w:val="20"/>
          <w:szCs w:val="20"/>
          <w:rtl w:val="0"/>
        </w:rPr>
        <w:t xml:space="preserve"> nel Test Book e nella sua appendice digitale, con test diagnostico e di entrata, test di unità di varia tipologia, in due livelli di difficoltà (Standard e Higher), forniti in fila A e B, fila C per gli studenti assenti e versione BES.</w:t>
      </w:r>
    </w:p>
    <w:p w:rsidR="00000000" w:rsidDel="00000000" w:rsidP="00000000" w:rsidRDefault="00000000" w:rsidRPr="00000000" w14:paraId="00000035">
      <w:pPr>
        <w:widowControl w:val="0"/>
        <w:spacing w:line="240" w:lineRule="auto"/>
        <w:jc w:val="both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4" w:w="11909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widowControl w:val="0"/>
      <w:spacing w:line="240" w:lineRule="auto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-457199</wp:posOffset>
              </wp:positionV>
              <wp:extent cx="7562850" cy="190500"/>
              <wp:effectExtent b="0" l="0" r="0" t="0"/>
              <wp:wrapTopAndBottom distB="0" distT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860850" y="3992950"/>
                        <a:ext cx="11034900" cy="1764600"/>
                      </a:xfrm>
                      <a:prstGeom prst="rect">
                        <a:avLst/>
                      </a:prstGeom>
                      <a:solidFill>
                        <a:srgbClr val="E62E2D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-457199</wp:posOffset>
              </wp:positionV>
              <wp:extent cx="7562850" cy="190500"/>
              <wp:effectExtent b="0" l="0" r="0" t="0"/>
              <wp:wrapTopAndBottom distB="0" dist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190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0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  <w:b w:val="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