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7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G.Zagrebelsky, C.Trucco, G.Bacceli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19"/>
          <w:szCs w:val="19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 SCUOLA DI DEMOCRAZIA. </w:t>
      </w:r>
      <w:r w:rsidDel="00000000" w:rsidR="00000000" w:rsidRPr="00000000">
        <w:rPr>
          <w:b w:val="1"/>
          <w:color w:val="e62e2d"/>
          <w:sz w:val="19"/>
          <w:szCs w:val="19"/>
          <w:rtl w:val="0"/>
        </w:rPr>
        <w:t xml:space="preserve">Lezioni di diritto ed economia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Per il 1° biennio Istituti Tecnici e Professionali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Le Monnier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unico, pp.504 + Quaderno, pp.72 + Libro digitale </w:t>
        <w:tab/>
        <w:tab/>
        <w:tab/>
        <w:t xml:space="preserve">      9788800354691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Contenuti Digitali Integrativi  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25,20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1, pp. 264 + Quaderno, pp. 72 + Libro digitale </w:t>
        <w:tab/>
        <w:tab/>
        <w:tab/>
        <w:tab/>
        <w:t xml:space="preserve">      9788800354806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Contenuti Digitali Integrativi  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2, pp. 240+ Libro digitale + Contenuti Digitali Integrativi </w:t>
        <w:tab/>
        <w:tab/>
        <w:tab/>
        <w:t xml:space="preserve">      9788800354851 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Saperi di base, pp. 168+ Libro digitale + Contenuti Digitali Integrativi </w:t>
        <w:tab/>
        <w:t xml:space="preserve">      9788800354899 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7,35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per il docente</w:t>
      </w:r>
      <w:r w:rsidDel="00000000" w:rsidR="00000000" w:rsidRPr="00000000">
        <w:rPr>
          <w:sz w:val="20"/>
          <w:szCs w:val="20"/>
          <w:rtl w:val="0"/>
        </w:rPr>
        <w:t xml:space="preserve">, pp. 384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DVD-Rom per il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percorso ha una didattica strutturata, è lineare nei contenuti, semplice nel linguaggio e offre una buona assistenza allo studio. Gli argomenti sono spiegati attraverso esempi concreti e sempre riassunti visivamente da schemi. </w:t>
      </w:r>
    </w:p>
    <w:p w:rsidR="00000000" w:rsidDel="00000000" w:rsidP="00000000" w:rsidRDefault="00000000" w:rsidRPr="00000000" w14:paraId="00000021">
      <w:pPr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didattica presente in ogni pagina assiste nello studio e nella comprensione dei paragrafi, mentre il Quaderno fornisce, oltre ad una base esercitativa, ulteriori strumenti per sviluppare  un metodo di studio. La varietà degli esercizi proposti aiuta lo studente a comprendere i suoi punti di forza e di debolezza e propone strategie mirate di rinforzo. Particolare attenzione è posta all’autovalutazione, con ampie schede di fine unità.</w:t>
      </w:r>
    </w:p>
    <w:p w:rsidR="00000000" w:rsidDel="00000000" w:rsidP="00000000" w:rsidRDefault="00000000" w:rsidRPr="00000000" w14:paraId="00000022">
      <w:pPr>
        <w:widowControl w:val="0"/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percorso di acquisizione del lessico di materia collega le unità e si conclude con una sezione di esercizi volti ad analizzare il lessico della Costituzione in riferimento ai fatti di cronaca.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laboratorio delle competenze propone prove di realtà più articolate, in situazioni nuove per lo studente e a fine unità Compiti di realtà sviluppano abilità e competenze.</w:t>
      </w:r>
    </w:p>
    <w:p w:rsidR="00000000" w:rsidDel="00000000" w:rsidP="00000000" w:rsidRDefault="00000000" w:rsidRPr="00000000" w14:paraId="00000024">
      <w:pPr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ricco di rubriche e schede che collegano lo studio alla realtà e nelle quali gli studenti si mettono in gioco. Un percorso di educazione finanziaria, realizzato sulla base delle indicazioni Ocse Pisa, è dedicato alle competenze economiche specifiche. Schede presenti in ogni unità insegnano come utilizzare al meglio la tecnologia attraverso un percorso che aiuta lo studente a conoscere e sfruttare le risorse del web, ma anche a difendersi dai pericoli della Rete. Sintesi di fine unità con audio e mappe ad alta leggibilità, la versione digitale accessibile e una buona integrazione con i contenuti digitali aggiuntivi completano il percorso. </w:t>
      </w:r>
    </w:p>
    <w:p w:rsidR="00000000" w:rsidDel="00000000" w:rsidP="00000000" w:rsidRDefault="00000000" w:rsidRPr="00000000" w14:paraId="00000025">
      <w:pPr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 volumetto a parte è inoltre dedicato ai bisogni educativi speciali e all’inclusività, garantendo l’acquisizione dei saperi essenziali disciplinari grazie a un’elevata accessibilità e a un apparato didattico </w:t>
      </w:r>
      <w:r w:rsidDel="00000000" w:rsidR="00000000" w:rsidRPr="00000000">
        <w:rPr>
          <w:i w:val="1"/>
          <w:sz w:val="20"/>
          <w:szCs w:val="20"/>
          <w:rtl w:val="0"/>
        </w:rPr>
        <w:t xml:space="preserve">ad hoc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2875" cy="390525"/>
              <wp:effectExtent b="0" l="0" r="0" t="0"/>
              <wp:wrapTopAndBottom distB="0" distT="0"/>
              <wp:docPr id="7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2875" cy="390525"/>
              <wp:effectExtent b="0" l="0" r="0" t="0"/>
              <wp:wrapTopAndBottom distB="0" distT="0"/>
              <wp:docPr id="7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YuOMW6m0EdEqw7S4PRgSSVQ2w==">AMUW2mWWRM0yyMq+kX/7GNiVlyULXLYswxt7SBzl4NH3BQwhkKOR75flZocGxQUfL8zHpJb2IrOw5BNhYe6f9ujeKJNGZDPuAORC87A7/sVvp6T7jGOv68w=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